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5953" w:end="-2211"/>
        <w:rPr/>
      </w:pPr>
      <w:r>
        <w:rPr>
          <w:rStyle w:val="Style14"/>
          <w:rFonts w:ascii="Times New Roman" w:hAnsi="Times New Roman"/>
          <w:b/>
          <w:color w:val="000000"/>
        </w:rPr>
        <w:t>ЗАТВЕРДЖУЮ</w:t>
      </w:r>
    </w:p>
    <w:p>
      <w:pPr>
        <w:pStyle w:val="Normal"/>
        <w:ind w:firstLine="5953" w:end="-2211"/>
        <w:rPr/>
      </w:pPr>
      <w:r>
        <w:rPr>
          <w:rStyle w:val="Style14"/>
          <w:rFonts w:ascii="Times New Roman" w:hAnsi="Times New Roman"/>
          <w:b/>
          <w:bCs/>
          <w:color w:val="000000"/>
        </w:rPr>
        <w:t>Проректор з навчальної роботи</w:t>
      </w:r>
    </w:p>
    <w:p>
      <w:pPr>
        <w:pStyle w:val="Normal"/>
        <w:tabs>
          <w:tab w:val="clear" w:pos="709"/>
        </w:tabs>
        <w:ind w:firstLine="5953" w:start="1137" w:end="-2211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Людмила ЛУЗАН</w:t>
      </w:r>
    </w:p>
    <w:p>
      <w:pPr>
        <w:pStyle w:val="Normal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</w:t>
      </w:r>
    </w:p>
    <w:p>
      <w:pPr>
        <w:pStyle w:val="Normal"/>
        <w:jc w:val="center"/>
        <w:rPr/>
      </w:pPr>
      <w:r>
        <w:rPr>
          <w:rStyle w:val="Style14"/>
          <w:rFonts w:ascii="Times New Roman" w:hAnsi="Times New Roman"/>
          <w:b/>
        </w:rPr>
        <w:t>РОЗКЛАД НАВЧАЛЬНИХ ЗАНЯТЬ</w:t>
      </w:r>
    </w:p>
    <w:p>
      <w:pPr>
        <w:pStyle w:val="Normal"/>
        <w:jc w:val="center"/>
        <w:rPr/>
      </w:pPr>
      <w:r>
        <w:rPr>
          <w:rStyle w:val="Style14"/>
          <w:rFonts w:ascii="Times New Roman" w:hAnsi="Times New Roman"/>
          <w:b/>
          <w:color w:val="000000"/>
        </w:rPr>
        <w:t>курсів підвищення кваліфікації заступників директорів з НВР</w:t>
      </w:r>
    </w:p>
    <w:p>
      <w:pPr>
        <w:pStyle w:val="Normal"/>
        <w:jc w:val="center"/>
        <w:rPr/>
      </w:pPr>
      <w:r>
        <w:rPr>
          <w:rStyle w:val="Style14"/>
          <w:rFonts w:ascii="Times New Roman" w:hAnsi="Times New Roman"/>
          <w:b/>
          <w:color w:val="000000"/>
        </w:rPr>
        <w:t>за освітньою програмою з теми</w:t>
      </w:r>
    </w:p>
    <w:p>
      <w:pPr>
        <w:pStyle w:val="Normal"/>
        <w:jc w:val="center"/>
        <w:rPr/>
      </w:pPr>
      <w:r>
        <w:rPr>
          <w:rStyle w:val="Style14"/>
          <w:rFonts w:ascii="Times New Roman" w:hAnsi="Times New Roman"/>
          <w:b/>
          <w:color w:val="000000"/>
        </w:rPr>
        <w:t xml:space="preserve"> </w:t>
      </w:r>
      <w:r>
        <w:rPr>
          <w:rStyle w:val="Style14"/>
          <w:rFonts w:ascii="Times New Roman" w:hAnsi="Times New Roman"/>
          <w:b/>
          <w:color w:val="000000"/>
        </w:rPr>
        <w:t>«</w:t>
      </w:r>
      <w:r>
        <w:rPr>
          <w:rStyle w:val="Style14"/>
          <w:rFonts w:ascii="Times New Roman" w:hAnsi="Times New Roman"/>
          <w:b/>
          <w:bCs/>
          <w:color w:val="000000"/>
        </w:rPr>
        <w:t>ПРОФІЛЬНА СТАРША ШКОЛА:</w:t>
      </w:r>
    </w:p>
    <w:p>
      <w:pPr>
        <w:pStyle w:val="Normal"/>
        <w:jc w:val="center"/>
        <w:rPr/>
      </w:pPr>
      <w:r>
        <w:rPr>
          <w:rStyle w:val="Style14"/>
          <w:rFonts w:ascii="Times New Roman" w:hAnsi="Times New Roman"/>
          <w:b/>
          <w:bCs/>
          <w:color w:val="000000"/>
        </w:rPr>
        <w:t>НОВА АРХІТЕКТУРА УПРАВЛІННЯ</w:t>
      </w:r>
      <w:r>
        <w:rPr>
          <w:rStyle w:val="Style14"/>
          <w:rFonts w:ascii="Times New Roman" w:hAnsi="Times New Roman"/>
          <w:b/>
          <w:color w:val="000000"/>
        </w:rPr>
        <w:t>»</w:t>
      </w:r>
    </w:p>
    <w:p>
      <w:pPr>
        <w:pStyle w:val="Normal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</w:r>
    </w:p>
    <w:p>
      <w:pPr>
        <w:pStyle w:val="Style15"/>
        <w:jc w:val="center"/>
        <w:rPr>
          <w:color w:val="000000"/>
        </w:rPr>
      </w:pPr>
      <w:r>
        <w:rPr>
          <w:color w:val="000000"/>
        </w:rPr>
        <w:t xml:space="preserve">(Постанова Кабінету Міністрів України від 05 листопада 2025 р. № 1439 </w:t>
      </w:r>
    </w:p>
    <w:p>
      <w:pPr>
        <w:pStyle w:val="Style15"/>
        <w:jc w:val="center"/>
        <w:rPr/>
      </w:pPr>
      <w:r>
        <w:rPr>
          <w:rStyle w:val="Style14"/>
          <w:color w:val="000000"/>
        </w:rPr>
        <w:t>«Про реалізацію експериментального проекту щодо закупівлі</w:t>
      </w:r>
      <w:r>
        <w:rPr/>
        <w:t xml:space="preserve"> </w:t>
      </w:r>
      <w:r>
        <w:rPr>
          <w:rStyle w:val="Style14"/>
          <w:color w:val="000000"/>
        </w:rPr>
        <w:t xml:space="preserve">послуг </w:t>
      </w:r>
    </w:p>
    <w:p>
      <w:pPr>
        <w:pStyle w:val="Style15"/>
        <w:jc w:val="center"/>
        <w:rPr>
          <w:color w:val="000000"/>
        </w:rPr>
      </w:pPr>
      <w:r>
        <w:rPr>
          <w:color w:val="000000"/>
        </w:rPr>
        <w:t>з підвищення кваліфікації та супервізії педагогічних працівників</w:t>
      </w:r>
    </w:p>
    <w:p>
      <w:pPr>
        <w:pStyle w:val="Style15"/>
        <w:jc w:val="center"/>
        <w:rPr>
          <w:color w:val="000000"/>
        </w:rPr>
      </w:pPr>
      <w:r>
        <w:rPr>
          <w:color w:val="000000"/>
        </w:rPr>
        <w:t>закладів загальної середньої освіти»)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</w:r>
    </w:p>
    <w:p>
      <w:pPr>
        <w:pStyle w:val="Normal"/>
        <w:ind w:firstLine="709"/>
        <w:rPr/>
      </w:pPr>
      <w:r>
        <w:rPr>
          <w:rStyle w:val="Style14"/>
          <w:rFonts w:ascii="Times New Roman" w:hAnsi="Times New Roman"/>
          <w:b/>
        </w:rPr>
        <w:t>Термін навчання: 27</w:t>
      </w:r>
      <w:r>
        <w:rPr>
          <w:rStyle w:val="Style14"/>
          <w:rFonts w:ascii="Times New Roman" w:hAnsi="Times New Roman"/>
          <w:b/>
          <w:bCs/>
        </w:rPr>
        <w:t>.10 – 10.11.2026</w:t>
      </w:r>
    </w:p>
    <w:p>
      <w:pPr>
        <w:pStyle w:val="Normal"/>
        <w:ind w:firstLine="709"/>
        <w:rPr/>
      </w:pPr>
      <w:r>
        <w:rPr>
          <w:rStyle w:val="Style14"/>
          <w:rFonts w:ascii="Times New Roman" w:hAnsi="Times New Roman"/>
          <w:b/>
        </w:rPr>
        <w:t>Дистанційна форма навчання</w:t>
      </w:r>
    </w:p>
    <w:p>
      <w:pPr>
        <w:pStyle w:val="Normal"/>
        <w:rPr>
          <w:b/>
        </w:rPr>
      </w:pPr>
      <w:r>
        <w:rPr>
          <w:b/>
        </w:rPr>
      </w:r>
    </w:p>
    <w:tbl>
      <w:tblPr>
        <w:tblW w:w="10200" w:type="dxa"/>
        <w:jc w:val="start"/>
        <w:tblInd w:w="12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13"/>
        <w:gridCol w:w="787"/>
        <w:gridCol w:w="788"/>
        <w:gridCol w:w="3126"/>
        <w:gridCol w:w="624"/>
        <w:gridCol w:w="800"/>
        <w:gridCol w:w="787"/>
        <w:gridCol w:w="963"/>
        <w:gridCol w:w="1812"/>
      </w:tblGrid>
      <w:tr>
        <w:trPr>
          <w:trHeight w:val="330" w:hRule="atLeast"/>
        </w:trPr>
        <w:tc>
          <w:tcPr>
            <w:tcW w:w="513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sz w:val="21"/>
                <w:szCs w:val="21"/>
              </w:rPr>
              <w:t xml:space="preserve">№ </w:t>
            </w:r>
            <w:r>
              <w:rPr>
                <w:rStyle w:val="Style14"/>
                <w:rFonts w:ascii="Times New Roman" w:hAnsi="Times New Roman"/>
                <w:b/>
                <w:sz w:val="21"/>
                <w:szCs w:val="21"/>
              </w:rPr>
              <w:t>з/п</w:t>
            </w:r>
          </w:p>
        </w:tc>
        <w:tc>
          <w:tcPr>
            <w:tcW w:w="787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sz w:val="21"/>
                <w:szCs w:val="21"/>
              </w:rPr>
              <w:t>Дата</w:t>
            </w:r>
          </w:p>
        </w:tc>
        <w:tc>
          <w:tcPr>
            <w:tcW w:w="788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sz w:val="21"/>
                <w:szCs w:val="21"/>
              </w:rPr>
              <w:t>Час</w:t>
            </w:r>
          </w:p>
        </w:tc>
        <w:tc>
          <w:tcPr>
            <w:tcW w:w="3126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sz w:val="21"/>
                <w:szCs w:val="21"/>
              </w:rPr>
              <w:t>Зміст</w:t>
            </w:r>
          </w:p>
        </w:tc>
        <w:tc>
          <w:tcPr>
            <w:tcW w:w="3174" w:type="dxa"/>
            <w:gridSpan w:val="4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sz w:val="21"/>
                <w:szCs w:val="21"/>
              </w:rPr>
              <w:t>Кількість годин</w:t>
            </w:r>
          </w:p>
        </w:tc>
        <w:tc>
          <w:tcPr>
            <w:tcW w:w="1812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sz w:val="21"/>
                <w:szCs w:val="21"/>
              </w:rPr>
              <w:t>ПІБ викладача</w:t>
            </w:r>
          </w:p>
        </w:tc>
      </w:tr>
      <w:tr>
        <w:trPr>
          <w:trHeight w:val="645" w:hRule="atLeast"/>
        </w:trPr>
        <w:tc>
          <w:tcPr>
            <w:tcW w:w="513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8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88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126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i/>
                <w:sz w:val="21"/>
                <w:szCs w:val="21"/>
              </w:rPr>
              <w:t>лекції</w:t>
            </w:r>
          </w:p>
        </w:tc>
        <w:tc>
          <w:tcPr>
            <w:tcW w:w="800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i/>
                <w:sz w:val="21"/>
                <w:szCs w:val="21"/>
              </w:rPr>
              <w:t>практичні заняття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i/>
                <w:sz w:val="21"/>
                <w:szCs w:val="21"/>
              </w:rPr>
              <w:t>самостійна робота</w:t>
            </w:r>
          </w:p>
        </w:tc>
        <w:tc>
          <w:tcPr>
            <w:tcW w:w="963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i/>
                <w:sz w:val="21"/>
                <w:szCs w:val="21"/>
              </w:rPr>
              <w:t>контрольні заходи</w:t>
            </w:r>
          </w:p>
        </w:tc>
        <w:tc>
          <w:tcPr>
            <w:tcW w:w="1812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</w:t>
            </w:r>
          </w:p>
        </w:tc>
        <w:tc>
          <w:tcPr>
            <w:tcW w:w="78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27.10.</w:t>
            </w:r>
          </w:p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2026</w:t>
            </w:r>
          </w:p>
        </w:tc>
        <w:tc>
          <w:tcPr>
            <w:tcW w:w="7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17.00-17.45</w:t>
            </w:r>
          </w:p>
        </w:tc>
        <w:tc>
          <w:tcPr>
            <w:tcW w:w="312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Настановне заняття</w:t>
            </w:r>
          </w:p>
        </w:tc>
        <w:tc>
          <w:tcPr>
            <w:tcW w:w="624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spacing w:lineRule="auto" w:line="28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800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spacing w:lineRule="auto" w:line="28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87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widowControl/>
              <w:spacing w:lineRule="auto" w:line="28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6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>
                <w:rStyle w:val="Style14"/>
                <w:rFonts w:ascii="Times New Roman" w:hAnsi="Times New Roman"/>
                <w:bCs/>
                <w:sz w:val="22"/>
                <w:szCs w:val="22"/>
              </w:rPr>
              <w:t>Руденко Ю.І.</w:t>
            </w:r>
          </w:p>
        </w:tc>
      </w:tr>
      <w:tr>
        <w:trPr/>
        <w:tc>
          <w:tcPr>
            <w:tcW w:w="51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1"/>
                <w:szCs w:val="21"/>
              </w:rPr>
              <w:t>2.</w:t>
            </w:r>
          </w:p>
        </w:tc>
        <w:tc>
          <w:tcPr>
            <w:tcW w:w="78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27.10.</w:t>
            </w:r>
          </w:p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2026</w:t>
            </w:r>
          </w:p>
        </w:tc>
        <w:tc>
          <w:tcPr>
            <w:tcW w:w="7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17.50-19.20</w:t>
            </w:r>
          </w:p>
        </w:tc>
        <w:tc>
          <w:tcPr>
            <w:tcW w:w="312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Засади реформування профільної середньої освіти</w:t>
            </w:r>
          </w:p>
        </w:tc>
        <w:tc>
          <w:tcPr>
            <w:tcW w:w="624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spacing w:lineRule="auto" w:line="28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spacing w:lineRule="auto" w:line="28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787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widowControl/>
              <w:spacing w:lineRule="auto" w:line="28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6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>
                <w:rStyle w:val="Style14"/>
                <w:rFonts w:ascii="Times New Roman" w:hAnsi="Times New Roman"/>
                <w:bCs/>
                <w:sz w:val="22"/>
                <w:szCs w:val="22"/>
              </w:rPr>
              <w:t>Єжелий В.М.</w:t>
            </w:r>
          </w:p>
        </w:tc>
      </w:tr>
      <w:tr>
        <w:trPr/>
        <w:tc>
          <w:tcPr>
            <w:tcW w:w="51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1"/>
                <w:szCs w:val="21"/>
              </w:rPr>
              <w:t>3.</w:t>
            </w:r>
          </w:p>
        </w:tc>
        <w:tc>
          <w:tcPr>
            <w:tcW w:w="78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28.10.</w:t>
            </w:r>
          </w:p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2026</w:t>
            </w:r>
          </w:p>
        </w:tc>
        <w:tc>
          <w:tcPr>
            <w:tcW w:w="7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17.00-18.30</w:t>
            </w:r>
          </w:p>
        </w:tc>
        <w:tc>
          <w:tcPr>
            <w:tcW w:w="312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Державний стандарт профільної середньої освіти</w:t>
            </w:r>
          </w:p>
        </w:tc>
        <w:tc>
          <w:tcPr>
            <w:tcW w:w="624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87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ind w:hanging="57" w:end="-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Байназарова О.О.</w:t>
            </w:r>
          </w:p>
        </w:tc>
      </w:tr>
      <w:tr>
        <w:trPr/>
        <w:tc>
          <w:tcPr>
            <w:tcW w:w="51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78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29.10. 2026</w:t>
            </w:r>
          </w:p>
        </w:tc>
        <w:tc>
          <w:tcPr>
            <w:tcW w:w="7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17.00-18.30</w:t>
            </w:r>
          </w:p>
        </w:tc>
        <w:tc>
          <w:tcPr>
            <w:tcW w:w="312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bookmarkStart w:id="0" w:name="docs-internal-guid-a0962021-7fff-2335-28"/>
            <w:bookmarkEnd w:id="0"/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Стратегічне бачення розвитку академічного ліцею в умовах упровадження реформи профільної освіти</w:t>
            </w:r>
          </w:p>
        </w:tc>
        <w:tc>
          <w:tcPr>
            <w:tcW w:w="624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787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6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Скрипка К.С.</w:t>
            </w:r>
          </w:p>
        </w:tc>
      </w:tr>
      <w:tr>
        <w:trPr/>
        <w:tc>
          <w:tcPr>
            <w:tcW w:w="51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1"/>
                <w:szCs w:val="21"/>
              </w:rPr>
              <w:t>5.</w:t>
            </w:r>
          </w:p>
        </w:tc>
        <w:tc>
          <w:tcPr>
            <w:tcW w:w="787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30.10.</w:t>
            </w:r>
          </w:p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2026</w:t>
            </w:r>
          </w:p>
        </w:tc>
        <w:tc>
          <w:tcPr>
            <w:tcW w:w="78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17.00-18.30</w:t>
            </w:r>
          </w:p>
        </w:tc>
        <w:tc>
          <w:tcPr>
            <w:tcW w:w="3126" w:type="dxa"/>
            <w:tcBorders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Побудова внутрішньої системи забезпечення якості освіти у контексті профілізації</w:t>
            </w:r>
          </w:p>
        </w:tc>
        <w:tc>
          <w:tcPr>
            <w:tcW w:w="624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20"/>
              <w:widowControl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00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20"/>
              <w:widowControl/>
              <w:jc w:val="center"/>
              <w:rPr/>
            </w:pPr>
            <w:r>
              <w:rPr>
                <w:rStyle w:val="Style14"/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87" w:type="dxa"/>
            <w:tcBorders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20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6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>
                <w:rStyle w:val="Style14"/>
                <w:rFonts w:ascii="Times New Roman" w:hAnsi="Times New Roman"/>
                <w:sz w:val="22"/>
                <w:szCs w:val="22"/>
                <w:shd w:fill="FFFFFF" w:val="clear"/>
              </w:rPr>
              <w:t>Скрипка К.С.</w:t>
            </w:r>
          </w:p>
        </w:tc>
      </w:tr>
      <w:tr>
        <w:trPr/>
        <w:tc>
          <w:tcPr>
            <w:tcW w:w="51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1"/>
                <w:szCs w:val="21"/>
              </w:rPr>
              <w:t>6.</w:t>
            </w:r>
          </w:p>
        </w:tc>
        <w:tc>
          <w:tcPr>
            <w:tcW w:w="787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31.10.</w:t>
            </w:r>
          </w:p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2026</w:t>
            </w:r>
          </w:p>
        </w:tc>
        <w:tc>
          <w:tcPr>
            <w:tcW w:w="78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09.00-10.30</w:t>
            </w:r>
          </w:p>
        </w:tc>
        <w:tc>
          <w:tcPr>
            <w:tcW w:w="3126" w:type="dxa"/>
            <w:tcBorders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Від ТОП до освітньої програми ЗЗСО: планування освітнього процесу на етапі профільної освіти</w:t>
            </w:r>
          </w:p>
        </w:tc>
        <w:tc>
          <w:tcPr>
            <w:tcW w:w="624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87" w:type="dxa"/>
            <w:tcBorders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widowControl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6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Кронгауз В.О.</w:t>
            </w:r>
          </w:p>
        </w:tc>
      </w:tr>
      <w:tr>
        <w:trPr/>
        <w:tc>
          <w:tcPr>
            <w:tcW w:w="51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1"/>
                <w:szCs w:val="21"/>
              </w:rPr>
              <w:t>7.</w:t>
            </w:r>
          </w:p>
        </w:tc>
        <w:tc>
          <w:tcPr>
            <w:tcW w:w="787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31.10.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2026</w:t>
            </w:r>
          </w:p>
        </w:tc>
        <w:tc>
          <w:tcPr>
            <w:tcW w:w="78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10.45-12.15</w:t>
            </w:r>
          </w:p>
        </w:tc>
        <w:tc>
          <w:tcPr>
            <w:tcW w:w="3126" w:type="dxa"/>
            <w:tcBorders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bookmarkStart w:id="1" w:name="docs-internal-guid-393d59c9-7fff-69f6-cb"/>
            <w:bookmarkEnd w:id="1"/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Особливості організації освітнього процесу в старшій профільній школі</w:t>
            </w:r>
          </w:p>
        </w:tc>
        <w:tc>
          <w:tcPr>
            <w:tcW w:w="624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7" w:type="dxa"/>
            <w:tcBorders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6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Кронгауз В.О.</w:t>
            </w:r>
          </w:p>
        </w:tc>
      </w:tr>
      <w:tr>
        <w:trPr/>
        <w:tc>
          <w:tcPr>
            <w:tcW w:w="51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1"/>
                <w:szCs w:val="21"/>
              </w:rPr>
              <w:t>8.</w:t>
            </w:r>
          </w:p>
        </w:tc>
        <w:tc>
          <w:tcPr>
            <w:tcW w:w="787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02.11.</w:t>
            </w:r>
          </w:p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2026</w:t>
            </w:r>
          </w:p>
        </w:tc>
        <w:tc>
          <w:tcPr>
            <w:tcW w:w="78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17.00-18.30</w:t>
            </w:r>
          </w:p>
        </w:tc>
        <w:tc>
          <w:tcPr>
            <w:tcW w:w="3126" w:type="dxa"/>
            <w:tcBorders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Профорієнтаційне консультування, супровід учня у професійному самовизначенні</w:t>
            </w:r>
          </w:p>
        </w:tc>
        <w:tc>
          <w:tcPr>
            <w:tcW w:w="624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800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7" w:type="dxa"/>
            <w:tcBorders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6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Скрипка К.С.</w:t>
            </w:r>
          </w:p>
        </w:tc>
      </w:tr>
      <w:tr>
        <w:trPr/>
        <w:tc>
          <w:tcPr>
            <w:tcW w:w="51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lang w:val="en-US"/>
              </w:rPr>
              <w:t>9.</w:t>
            </w:r>
          </w:p>
        </w:tc>
        <w:tc>
          <w:tcPr>
            <w:tcW w:w="787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03.11.</w:t>
            </w:r>
          </w:p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2026</w:t>
            </w:r>
          </w:p>
        </w:tc>
        <w:tc>
          <w:tcPr>
            <w:tcW w:w="78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17.00-18.30</w:t>
            </w:r>
          </w:p>
        </w:tc>
        <w:tc>
          <w:tcPr>
            <w:tcW w:w="3126" w:type="dxa"/>
            <w:tcBorders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Комунікативна компетентність керівника ЗЗСО: побудова ефективних зовнішніх та внутрішніх комунікацій</w:t>
            </w:r>
          </w:p>
        </w:tc>
        <w:tc>
          <w:tcPr>
            <w:tcW w:w="624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20"/>
              <w:spacing w:lineRule="auto" w:line="28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20"/>
              <w:spacing w:lineRule="auto" w:line="28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87" w:type="dxa"/>
            <w:tcBorders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20"/>
              <w:spacing w:lineRule="auto" w:line="28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6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2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Смирнова М.Є.</w:t>
            </w:r>
          </w:p>
        </w:tc>
      </w:tr>
      <w:tr>
        <w:trPr>
          <w:trHeight w:val="1234" w:hRule="atLeast"/>
        </w:trPr>
        <w:tc>
          <w:tcPr>
            <w:tcW w:w="51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10.</w:t>
            </w:r>
          </w:p>
        </w:tc>
        <w:tc>
          <w:tcPr>
            <w:tcW w:w="787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04.11.</w:t>
            </w:r>
          </w:p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2026</w:t>
            </w:r>
          </w:p>
        </w:tc>
        <w:tc>
          <w:tcPr>
            <w:tcW w:w="78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lang w:val="en-US"/>
              </w:rPr>
              <w:t>18.00</w:t>
            </w:r>
            <w:r>
              <w:rPr>
                <w:rStyle w:val="Style14"/>
                <w:rFonts w:ascii="Times New Roman" w:hAnsi="Times New Roman"/>
                <w:sz w:val="21"/>
                <w:szCs w:val="21"/>
              </w:rPr>
              <w:t>-</w:t>
            </w:r>
            <w:r>
              <w:rPr>
                <w:rStyle w:val="Style14"/>
                <w:rFonts w:ascii="Times New Roman" w:hAnsi="Times New Roman"/>
                <w:sz w:val="21"/>
                <w:szCs w:val="21"/>
                <w:lang w:val="en-US"/>
              </w:rPr>
              <w:t>19.30</w:t>
            </w:r>
          </w:p>
        </w:tc>
        <w:tc>
          <w:tcPr>
            <w:tcW w:w="3126" w:type="dxa"/>
            <w:tcBorders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bookmarkStart w:id="2" w:name="docs-internal-guid-78a183cc-7fff-e43f-fe"/>
            <w:bookmarkEnd w:id="2"/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Професійний розвиток учителів, які працюють в профільних класах. Сучасні форми методичної підтримки педагогів</w:t>
            </w:r>
          </w:p>
        </w:tc>
        <w:tc>
          <w:tcPr>
            <w:tcW w:w="624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00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87" w:type="dxa"/>
            <w:tcBorders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Лузан Л.О.</w:t>
            </w:r>
          </w:p>
        </w:tc>
      </w:tr>
      <w:tr>
        <w:trPr/>
        <w:tc>
          <w:tcPr>
            <w:tcW w:w="51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11.</w:t>
            </w:r>
          </w:p>
        </w:tc>
        <w:tc>
          <w:tcPr>
            <w:tcW w:w="787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05.11.2026</w:t>
            </w:r>
          </w:p>
        </w:tc>
        <w:tc>
          <w:tcPr>
            <w:tcW w:w="78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17.00-18.30</w:t>
            </w:r>
          </w:p>
        </w:tc>
        <w:tc>
          <w:tcPr>
            <w:tcW w:w="3126" w:type="dxa"/>
            <w:tcBorders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Забезпечення безпеки освітнього процесу в старшій профільній школі</w:t>
            </w:r>
          </w:p>
          <w:p>
            <w:pPr>
              <w:pStyle w:val="Style19"/>
              <w:widowControl/>
              <w:rPr>
                <w:rFonts w:ascii="Times New Roman" w:hAnsi="Times New Roman" w:eastAsia="Times New Roman" w:cs="Times New Roman"/>
                <w:w w:val="105"/>
                <w:kern w:val="0"/>
                <w:sz w:val="8"/>
                <w:szCs w:val="8"/>
                <w:lang w:eastAsia="uk-UA" w:bidi="ar-SA"/>
              </w:rPr>
            </w:pPr>
            <w:r>
              <w:rPr>
                <w:rFonts w:eastAsia="Times New Roman" w:cs="Times New Roman" w:ascii="Times New Roman" w:hAnsi="Times New Roman"/>
                <w:w w:val="105"/>
                <w:kern w:val="0"/>
                <w:sz w:val="8"/>
                <w:szCs w:val="8"/>
                <w:lang w:eastAsia="uk-UA" w:bidi="ar-SA"/>
              </w:rPr>
            </w:r>
          </w:p>
        </w:tc>
        <w:tc>
          <w:tcPr>
            <w:tcW w:w="624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787" w:type="dxa"/>
            <w:tcBorders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widowControl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96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>
                <w:rStyle w:val="Style14"/>
                <w:rFonts w:ascii="Times New Roman" w:hAnsi="Times New Roman"/>
                <w:sz w:val="22"/>
                <w:szCs w:val="22"/>
                <w:shd w:fill="FFFFFF" w:val="clear"/>
              </w:rPr>
              <w:t>Астахова М.С.</w:t>
            </w:r>
          </w:p>
        </w:tc>
      </w:tr>
      <w:tr>
        <w:trPr/>
        <w:tc>
          <w:tcPr>
            <w:tcW w:w="51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1"/>
                <w:szCs w:val="21"/>
              </w:rPr>
              <w:t>12.</w:t>
            </w:r>
          </w:p>
        </w:tc>
        <w:tc>
          <w:tcPr>
            <w:tcW w:w="787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06.11.</w:t>
            </w:r>
          </w:p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2026</w:t>
            </w:r>
          </w:p>
        </w:tc>
        <w:tc>
          <w:tcPr>
            <w:tcW w:w="78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17.00-18.30</w:t>
            </w:r>
          </w:p>
        </w:tc>
        <w:tc>
          <w:tcPr>
            <w:tcW w:w="3126" w:type="dxa"/>
            <w:tcBorders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Ціннісний компонент реалізації профільного навчання</w:t>
            </w:r>
          </w:p>
        </w:tc>
        <w:tc>
          <w:tcPr>
            <w:tcW w:w="624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20"/>
              <w:spacing w:lineRule="auto" w:line="28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20"/>
              <w:spacing w:lineRule="auto" w:line="28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87" w:type="dxa"/>
            <w:tcBorders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20"/>
              <w:spacing w:lineRule="auto" w:line="28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6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2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>
                <w:rStyle w:val="Style14"/>
                <w:rFonts w:ascii="Times New Roman" w:hAnsi="Times New Roman"/>
                <w:sz w:val="22"/>
                <w:szCs w:val="22"/>
                <w:shd w:fill="FFFFFF" w:val="clear"/>
              </w:rPr>
              <w:t>Вороніна Г.Л.</w:t>
            </w:r>
          </w:p>
        </w:tc>
      </w:tr>
      <w:tr>
        <w:trPr/>
        <w:tc>
          <w:tcPr>
            <w:tcW w:w="51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1"/>
                <w:szCs w:val="21"/>
                <w:lang w:val="en-US"/>
              </w:rPr>
              <w:t>1</w:t>
            </w:r>
            <w:r>
              <w:rPr>
                <w:rStyle w:val="Style14"/>
                <w:rFonts w:ascii="Times New Roman" w:hAnsi="Times New Roman"/>
                <w:color w:val="000000"/>
                <w:sz w:val="21"/>
                <w:szCs w:val="21"/>
              </w:rPr>
              <w:t>3</w:t>
            </w:r>
            <w:r>
              <w:rPr>
                <w:rStyle w:val="Style14"/>
                <w:rFonts w:ascii="Times New Roman" w:hAnsi="Times New Roman"/>
                <w:color w:val="000000"/>
                <w:sz w:val="21"/>
                <w:szCs w:val="21"/>
                <w:lang w:val="en-US"/>
              </w:rPr>
              <w:t>.</w:t>
            </w:r>
          </w:p>
        </w:tc>
        <w:tc>
          <w:tcPr>
            <w:tcW w:w="787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ind w:hanging="57" w:end="-57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09.11.</w:t>
            </w:r>
          </w:p>
          <w:p>
            <w:pPr>
              <w:pStyle w:val="Normal"/>
              <w:ind w:hanging="57" w:end="-57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2026</w:t>
            </w:r>
          </w:p>
        </w:tc>
        <w:tc>
          <w:tcPr>
            <w:tcW w:w="78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17.00-18.30</w:t>
            </w:r>
          </w:p>
        </w:tc>
        <w:tc>
          <w:tcPr>
            <w:tcW w:w="3126" w:type="dxa"/>
            <w:tcBorders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Iндивiдуальнi  освiтнi траєкторії учнів та персоналiзацiя навчання</w:t>
            </w:r>
          </w:p>
        </w:tc>
        <w:tc>
          <w:tcPr>
            <w:tcW w:w="624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00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7" w:type="dxa"/>
            <w:tcBorders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96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ind w:hanging="57" w:end="-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Байназарова О.О.</w:t>
            </w:r>
          </w:p>
        </w:tc>
      </w:tr>
      <w:tr>
        <w:trPr/>
        <w:tc>
          <w:tcPr>
            <w:tcW w:w="51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1"/>
                <w:szCs w:val="21"/>
              </w:rPr>
              <w:t>14.</w:t>
            </w:r>
          </w:p>
        </w:tc>
        <w:tc>
          <w:tcPr>
            <w:tcW w:w="787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ind w:hanging="57" w:end="-57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10.11.</w:t>
            </w:r>
          </w:p>
          <w:p>
            <w:pPr>
              <w:pStyle w:val="Normal"/>
              <w:ind w:hanging="57" w:end="-57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2026</w:t>
            </w:r>
          </w:p>
        </w:tc>
        <w:tc>
          <w:tcPr>
            <w:tcW w:w="78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17.00-18.30</w:t>
            </w:r>
          </w:p>
        </w:tc>
        <w:tc>
          <w:tcPr>
            <w:tcW w:w="3126" w:type="dxa"/>
            <w:tcBorders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Інформаційна та кібербезпека учасників освітнього процесу</w:t>
            </w:r>
          </w:p>
        </w:tc>
        <w:tc>
          <w:tcPr>
            <w:tcW w:w="624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jc w:val="center"/>
              <w:rPr/>
            </w:pPr>
            <w:r>
              <w:rPr/>
            </w:r>
          </w:p>
        </w:tc>
        <w:tc>
          <w:tcPr>
            <w:tcW w:w="800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787" w:type="dxa"/>
            <w:tcBorders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widowControl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96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>
                <w:rStyle w:val="Style14"/>
                <w:rFonts w:ascii="Times New Roman" w:hAnsi="Times New Roman"/>
                <w:sz w:val="22"/>
                <w:szCs w:val="22"/>
                <w:shd w:fill="FFFFFF" w:val="clear"/>
              </w:rPr>
              <w:t>Астахова М.С.</w:t>
            </w:r>
          </w:p>
        </w:tc>
      </w:tr>
      <w:tr>
        <w:trPr/>
        <w:tc>
          <w:tcPr>
            <w:tcW w:w="51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1"/>
                <w:szCs w:val="21"/>
              </w:rPr>
              <w:t>15.</w:t>
            </w:r>
          </w:p>
        </w:tc>
        <w:tc>
          <w:tcPr>
            <w:tcW w:w="787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10.11</w:t>
            </w:r>
          </w:p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sz w:val="21"/>
                <w:szCs w:val="21"/>
                <w:shd w:fill="FFFFFF" w:val="clear"/>
              </w:rPr>
              <w:t>2026</w:t>
            </w:r>
          </w:p>
        </w:tc>
        <w:tc>
          <w:tcPr>
            <w:tcW w:w="78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18.35-19.20</w:t>
            </w:r>
          </w:p>
        </w:tc>
        <w:tc>
          <w:tcPr>
            <w:tcW w:w="3126" w:type="dxa"/>
            <w:tcBorders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rPr/>
            </w:pPr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Підсумкові заходи</w:t>
            </w:r>
          </w:p>
          <w:p>
            <w:pPr>
              <w:pStyle w:val="Style19"/>
              <w:widowControl/>
              <w:rPr/>
            </w:pPr>
            <w:r>
              <w:rPr>
                <w:rStyle w:val="2"/>
                <w:rFonts w:eastAsia="Times New Roman" w:cs="Times New Roman" w:ascii="Times New Roman" w:hAnsi="Times New Roman"/>
                <w:w w:val="105"/>
                <w:kern w:val="0"/>
                <w:sz w:val="21"/>
                <w:szCs w:val="21"/>
                <w:lang w:eastAsia="uk-UA" w:bidi="ar-SA"/>
              </w:rPr>
              <w:t>(підсумкове тестування)</w:t>
            </w:r>
          </w:p>
        </w:tc>
        <w:tc>
          <w:tcPr>
            <w:tcW w:w="624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00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jc w:val="center"/>
              <w:rPr/>
            </w:pPr>
            <w:r>
              <w:rPr/>
            </w:r>
          </w:p>
        </w:tc>
        <w:tc>
          <w:tcPr>
            <w:tcW w:w="787" w:type="dxa"/>
            <w:tcBorders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widowControl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96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jc w:val="center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1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Руденко Ю.І.</w:t>
            </w:r>
          </w:p>
        </w:tc>
      </w:tr>
      <w:tr>
        <w:trPr/>
        <w:tc>
          <w:tcPr>
            <w:tcW w:w="51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4701" w:type="dxa"/>
            <w:gridSpan w:val="3"/>
            <w:tcBorders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bCs/>
                <w:sz w:val="22"/>
                <w:szCs w:val="22"/>
                <w:shd w:fill="FFFFFF" w:val="clear"/>
              </w:rPr>
              <w:t>Усього</w:t>
            </w:r>
          </w:p>
        </w:tc>
        <w:tc>
          <w:tcPr>
            <w:tcW w:w="624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0" w:type="dxa"/>
            <w:tcBorders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Style19"/>
              <w:widowControl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787" w:type="dxa"/>
            <w:tcBorders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widowControl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6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1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1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4701" w:type="dxa"/>
            <w:gridSpan w:val="3"/>
            <w:tcBorders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bCs/>
                <w:sz w:val="22"/>
                <w:szCs w:val="22"/>
                <w:shd w:fill="FFFFFF" w:val="clear"/>
              </w:rPr>
              <w:t>Разом</w:t>
            </w:r>
          </w:p>
        </w:tc>
        <w:tc>
          <w:tcPr>
            <w:tcW w:w="3174" w:type="dxa"/>
            <w:gridSpan w:val="4"/>
            <w:tcBorders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Style19"/>
              <w:widowControl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81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/>
      </w:pPr>
      <w:r>
        <w:rPr>
          <w:rStyle w:val="Style14"/>
          <w:rFonts w:ascii="Times New Roman" w:hAnsi="Times New Roman"/>
          <w:b/>
        </w:rPr>
        <w:t xml:space="preserve">  </w:t>
      </w:r>
      <w:r>
        <w:rPr>
          <w:rStyle w:val="Style14"/>
          <w:rFonts w:ascii="Times New Roman" w:hAnsi="Times New Roman"/>
          <w:b/>
        </w:rPr>
        <w:t>Куратор групи</w:t>
        <w:tab/>
        <w:tab/>
        <w:tab/>
        <w:tab/>
        <w:tab/>
        <w:tab/>
        <w:t xml:space="preserve">                             Юлія РУДЕНКО</w:t>
      </w:r>
    </w:p>
    <w:p>
      <w:pPr>
        <w:pStyle w:val="Normal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tabs>
          <w:tab w:val="clear" w:pos="709"/>
        </w:tabs>
        <w:spacing w:lineRule="auto" w:line="312"/>
        <w:ind w:start="11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tabs>
          <w:tab w:val="clear" w:pos="709"/>
        </w:tabs>
        <w:spacing w:lineRule="auto" w:line="312"/>
        <w:ind w:start="11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Відомості про викладачів:</w:t>
      </w:r>
    </w:p>
    <w:p>
      <w:pPr>
        <w:pStyle w:val="Normal"/>
        <w:tabs>
          <w:tab w:val="clear" w:pos="709"/>
        </w:tabs>
        <w:ind w:start="170"/>
        <w:jc w:val="both"/>
        <w:rPr/>
      </w:pPr>
      <w:r>
        <w:rPr>
          <w:rStyle w:val="Style14"/>
          <w:rFonts w:ascii="Times New Roman" w:hAnsi="Times New Roman"/>
          <w:i/>
          <w:iCs/>
          <w:sz w:val="22"/>
        </w:rPr>
        <w:t>Астахова Марія Сергіївна</w:t>
      </w:r>
      <w:r>
        <w:rPr>
          <w:rStyle w:val="Style14"/>
          <w:rFonts w:ascii="Times New Roman" w:hAnsi="Times New Roman"/>
          <w:sz w:val="22"/>
        </w:rPr>
        <w:t xml:space="preserve">, зав. кафедри освітнього менеджменту та виховання, к. пед. н., тренер з медіаграмотності, тренер НУШ, </w:t>
      </w:r>
      <w:r>
        <w:rPr>
          <w:rStyle w:val="Style14"/>
          <w:rFonts w:ascii="Times New Roman" w:hAnsi="Times New Roman"/>
          <w:color w:val="000000"/>
          <w:sz w:val="22"/>
        </w:rPr>
        <w:t>ментор швейцарсько-українського проєкту DECIDE, супервізор у сфері загальної середньої освіти</w:t>
      </w:r>
    </w:p>
    <w:p>
      <w:pPr>
        <w:pStyle w:val="Normal"/>
        <w:tabs>
          <w:tab w:val="clear" w:pos="709"/>
        </w:tabs>
        <w:ind w:start="170"/>
        <w:jc w:val="both"/>
        <w:rPr>
          <w:rFonts w:ascii="Times New Roman" w:hAnsi="Times New Roman"/>
          <w:sz w:val="10"/>
          <w:szCs w:val="12"/>
        </w:rPr>
      </w:pPr>
      <w:r>
        <w:rPr>
          <w:rFonts w:ascii="Times New Roman" w:hAnsi="Times New Roman"/>
          <w:sz w:val="10"/>
          <w:szCs w:val="12"/>
        </w:rPr>
      </w:r>
    </w:p>
    <w:p>
      <w:pPr>
        <w:pStyle w:val="Standard"/>
        <w:tabs>
          <w:tab w:val="clear" w:pos="709"/>
        </w:tabs>
        <w:ind w:start="170"/>
        <w:jc w:val="both"/>
        <w:rPr/>
      </w:pPr>
      <w:r>
        <w:rPr>
          <w:rStyle w:val="Style14"/>
          <w:rFonts w:ascii="Times New Roman" w:hAnsi="Times New Roman"/>
          <w:i/>
          <w:iCs/>
          <w:sz w:val="22"/>
        </w:rPr>
        <w:t xml:space="preserve">Байназарова Олена Олександрівна, </w:t>
      </w:r>
      <w:r>
        <w:rPr>
          <w:rStyle w:val="Style14"/>
          <w:rFonts w:ascii="Times New Roman" w:hAnsi="Times New Roman"/>
          <w:bCs/>
          <w:color w:val="000000"/>
          <w:sz w:val="22"/>
        </w:rPr>
        <w:t>старший викладач кафедри освітнього менеджменту та виховання, завідувач секції культури здоров’я, психологічної та інклюзивної освіти, тренер НУШ</w:t>
      </w:r>
    </w:p>
    <w:p>
      <w:pPr>
        <w:pStyle w:val="Standard"/>
        <w:tabs>
          <w:tab w:val="clear" w:pos="709"/>
        </w:tabs>
        <w:ind w:start="170"/>
        <w:jc w:val="both"/>
        <w:rPr>
          <w:rFonts w:ascii="Times New Roman" w:hAnsi="Times New Roman"/>
          <w:i/>
          <w:i/>
          <w:iCs/>
          <w:sz w:val="10"/>
          <w:szCs w:val="12"/>
        </w:rPr>
      </w:pPr>
      <w:r>
        <w:rPr>
          <w:rFonts w:ascii="Times New Roman" w:hAnsi="Times New Roman"/>
          <w:i/>
          <w:iCs/>
          <w:sz w:val="10"/>
          <w:szCs w:val="12"/>
        </w:rPr>
      </w:r>
    </w:p>
    <w:p>
      <w:pPr>
        <w:pStyle w:val="Standard"/>
        <w:tabs>
          <w:tab w:val="clear" w:pos="709"/>
        </w:tabs>
        <w:ind w:start="170"/>
        <w:jc w:val="both"/>
        <w:rPr/>
      </w:pPr>
      <w:r>
        <w:rPr>
          <w:rStyle w:val="Style14"/>
          <w:rFonts w:ascii="Times New Roman" w:hAnsi="Times New Roman"/>
          <w:i/>
          <w:iCs/>
          <w:sz w:val="22"/>
        </w:rPr>
        <w:t>Вороніна Галина Анатоліївна</w:t>
      </w:r>
      <w:r>
        <w:rPr>
          <w:rStyle w:val="Style14"/>
          <w:rFonts w:ascii="Times New Roman" w:hAnsi="Times New Roman"/>
          <w:sz w:val="22"/>
        </w:rPr>
        <w:t>, доцент кафедри освітнього менеджменту та виховання,</w:t>
        <w:br/>
        <w:t>к.пед. н., тренер НУШ</w:t>
      </w:r>
    </w:p>
    <w:p>
      <w:pPr>
        <w:pStyle w:val="Standard"/>
        <w:tabs>
          <w:tab w:val="clear" w:pos="709"/>
        </w:tabs>
        <w:ind w:start="170"/>
        <w:jc w:val="both"/>
        <w:rPr>
          <w:rFonts w:ascii="Times New Roman" w:hAnsi="Times New Roman"/>
          <w:sz w:val="10"/>
          <w:szCs w:val="12"/>
        </w:rPr>
      </w:pPr>
      <w:r>
        <w:rPr>
          <w:rFonts w:ascii="Times New Roman" w:hAnsi="Times New Roman"/>
          <w:sz w:val="10"/>
          <w:szCs w:val="12"/>
        </w:rPr>
      </w:r>
    </w:p>
    <w:p>
      <w:pPr>
        <w:pStyle w:val="Standard"/>
        <w:tabs>
          <w:tab w:val="clear" w:pos="709"/>
        </w:tabs>
        <w:ind w:start="170"/>
        <w:jc w:val="both"/>
        <w:rPr/>
      </w:pPr>
      <w:r>
        <w:rPr>
          <w:rStyle w:val="Style14"/>
          <w:rFonts w:ascii="Times New Roman" w:hAnsi="Times New Roman"/>
          <w:i/>
          <w:iCs/>
          <w:sz w:val="22"/>
        </w:rPr>
        <w:t xml:space="preserve">Єжелий Віктор Миколайович, </w:t>
      </w:r>
      <w:r>
        <w:rPr>
          <w:rStyle w:val="Style14"/>
          <w:rFonts w:ascii="Times New Roman" w:hAnsi="Times New Roman"/>
          <w:bCs/>
          <w:color w:val="000000"/>
          <w:sz w:val="22"/>
        </w:rPr>
        <w:t>викладач кафедри освітнього менеджменту та виховання, методист вищої категорії центру менеджменту та інноваційного розвитку освіти, магістр державного управління; регіональний тренер НУШ, регіональний тренер новопризначених директорів ЗЗСО</w:t>
      </w:r>
    </w:p>
    <w:p>
      <w:pPr>
        <w:pStyle w:val="Normal"/>
        <w:tabs>
          <w:tab w:val="clear" w:pos="709"/>
        </w:tabs>
        <w:ind w:start="170"/>
        <w:jc w:val="both"/>
        <w:rPr>
          <w:rFonts w:ascii="Times New Roman" w:hAnsi="Times New Roman"/>
          <w:i/>
          <w:i/>
          <w:iCs/>
          <w:sz w:val="10"/>
          <w:szCs w:val="12"/>
        </w:rPr>
      </w:pPr>
      <w:r>
        <w:rPr>
          <w:rFonts w:ascii="Times New Roman" w:hAnsi="Times New Roman"/>
          <w:i/>
          <w:iCs/>
          <w:sz w:val="10"/>
          <w:szCs w:val="12"/>
        </w:rPr>
      </w:r>
    </w:p>
    <w:p>
      <w:pPr>
        <w:pStyle w:val="Normal"/>
        <w:tabs>
          <w:tab w:val="clear" w:pos="709"/>
        </w:tabs>
        <w:ind w:start="170"/>
        <w:jc w:val="both"/>
        <w:rPr/>
      </w:pPr>
      <w:r>
        <w:rPr>
          <w:rStyle w:val="Style14"/>
          <w:rFonts w:ascii="Times New Roman" w:hAnsi="Times New Roman"/>
          <w:i/>
          <w:iCs/>
          <w:sz w:val="22"/>
        </w:rPr>
        <w:t>Кронгауз Владислав Олександрович</w:t>
      </w:r>
      <w:r>
        <w:rPr>
          <w:rStyle w:val="Style14"/>
          <w:rFonts w:ascii="Times New Roman" w:hAnsi="Times New Roman"/>
          <w:sz w:val="22"/>
        </w:rPr>
        <w:t xml:space="preserve">, викладач кафедри сучасних методик навчання, </w:t>
      </w:r>
      <w:r>
        <w:rPr>
          <w:rStyle w:val="Style14"/>
          <w:rFonts w:ascii="Times New Roman" w:hAnsi="Times New Roman"/>
          <w:color w:val="000000"/>
          <w:spacing w:val="1"/>
          <w:sz w:val="22"/>
          <w:shd w:fill="FFFFFF" w:val="clear"/>
        </w:rPr>
        <w:t>директор Харківського ліцею № 138 Салтівського району ХМР, переможець обласного етапу Всеукраїнського конкурсу «Учитель року — 2026» у номінації «Громадянська освіта»</w:t>
      </w:r>
    </w:p>
    <w:p>
      <w:pPr>
        <w:pStyle w:val="Normal"/>
        <w:tabs>
          <w:tab w:val="clear" w:pos="709"/>
        </w:tabs>
        <w:ind w:start="170"/>
        <w:jc w:val="both"/>
        <w:rPr>
          <w:rFonts w:ascii="Times New Roman" w:hAnsi="Times New Roman"/>
          <w:sz w:val="10"/>
          <w:szCs w:val="12"/>
        </w:rPr>
      </w:pPr>
      <w:r>
        <w:rPr>
          <w:rFonts w:ascii="Times New Roman" w:hAnsi="Times New Roman"/>
          <w:sz w:val="10"/>
          <w:szCs w:val="12"/>
        </w:rPr>
      </w:r>
    </w:p>
    <w:p>
      <w:pPr>
        <w:pStyle w:val="Normal"/>
        <w:tabs>
          <w:tab w:val="clear" w:pos="709"/>
        </w:tabs>
        <w:ind w:start="170"/>
        <w:jc w:val="both"/>
        <w:rPr/>
      </w:pPr>
      <w:r>
        <w:rPr>
          <w:rStyle w:val="Style14"/>
          <w:rFonts w:ascii="Times New Roman" w:hAnsi="Times New Roman"/>
          <w:i/>
          <w:iCs/>
          <w:sz w:val="22"/>
        </w:rPr>
        <w:t>Лузан Людмила Олександрівна</w:t>
      </w:r>
      <w:r>
        <w:rPr>
          <w:rStyle w:val="Style14"/>
          <w:rFonts w:ascii="Times New Roman" w:hAnsi="Times New Roman"/>
          <w:sz w:val="22"/>
        </w:rPr>
        <w:t>, професор кафедри освітнього менеджменту та виховання, к.пед.н., проректор з навчальної роботи КВНЗ «Харківська академія неперервної освіти»</w:t>
      </w:r>
    </w:p>
    <w:p>
      <w:pPr>
        <w:pStyle w:val="Normal"/>
        <w:tabs>
          <w:tab w:val="clear" w:pos="709"/>
        </w:tabs>
        <w:ind w:start="170"/>
        <w:jc w:val="both"/>
        <w:rPr>
          <w:rFonts w:ascii="Times New Roman" w:hAnsi="Times New Roman"/>
          <w:sz w:val="10"/>
          <w:szCs w:val="12"/>
        </w:rPr>
      </w:pPr>
      <w:r>
        <w:rPr>
          <w:rFonts w:ascii="Times New Roman" w:hAnsi="Times New Roman"/>
          <w:sz w:val="10"/>
          <w:szCs w:val="12"/>
        </w:rPr>
      </w:r>
    </w:p>
    <w:p>
      <w:pPr>
        <w:pStyle w:val="Normal"/>
        <w:tabs>
          <w:tab w:val="clear" w:pos="709"/>
        </w:tabs>
        <w:ind w:start="170"/>
        <w:jc w:val="both"/>
        <w:rPr/>
      </w:pPr>
      <w:r>
        <w:rPr>
          <w:rStyle w:val="Style14"/>
          <w:rFonts w:ascii="Times New Roman" w:hAnsi="Times New Roman"/>
          <w:i/>
          <w:iCs/>
          <w:sz w:val="22"/>
        </w:rPr>
        <w:t xml:space="preserve">Руденко Юлія Іванівна,  </w:t>
      </w:r>
      <w:r>
        <w:rPr>
          <w:rStyle w:val="Style14"/>
          <w:rFonts w:ascii="Times New Roman" w:hAnsi="Times New Roman"/>
          <w:bCs/>
          <w:color w:val="000000"/>
          <w:sz w:val="22"/>
        </w:rPr>
        <w:t>викладач кафедри методики дошкільної та початкової освіти КВНЗ «Харківська академія неперервної освіти»</w:t>
      </w:r>
    </w:p>
    <w:p>
      <w:pPr>
        <w:pStyle w:val="Normal"/>
        <w:tabs>
          <w:tab w:val="clear" w:pos="709"/>
        </w:tabs>
        <w:ind w:start="170"/>
        <w:jc w:val="both"/>
        <w:rPr>
          <w:rFonts w:ascii="Times New Roman" w:hAnsi="Times New Roman"/>
          <w:i/>
          <w:i/>
          <w:iCs/>
          <w:sz w:val="10"/>
          <w:szCs w:val="12"/>
        </w:rPr>
      </w:pPr>
      <w:r>
        <w:rPr>
          <w:rFonts w:ascii="Times New Roman" w:hAnsi="Times New Roman"/>
          <w:i/>
          <w:iCs/>
          <w:sz w:val="10"/>
          <w:szCs w:val="12"/>
        </w:rPr>
      </w:r>
    </w:p>
    <w:p>
      <w:pPr>
        <w:pStyle w:val="Normal"/>
        <w:tabs>
          <w:tab w:val="clear" w:pos="709"/>
        </w:tabs>
        <w:ind w:start="170"/>
        <w:jc w:val="both"/>
        <w:rPr/>
      </w:pPr>
      <w:r>
        <w:rPr>
          <w:rStyle w:val="Style14"/>
          <w:rFonts w:ascii="Times New Roman" w:hAnsi="Times New Roman"/>
          <w:i/>
          <w:iCs/>
          <w:sz w:val="22"/>
        </w:rPr>
        <w:t>Скрипка Катерина Сергіївна</w:t>
      </w:r>
      <w:r>
        <w:rPr>
          <w:rStyle w:val="Style14"/>
          <w:rFonts w:ascii="Times New Roman" w:hAnsi="Times New Roman"/>
          <w:sz w:val="22"/>
        </w:rPr>
        <w:t xml:space="preserve">, старший викладач кафедри освітнього менеджменту та виховання, доктор філософії, </w:t>
      </w:r>
      <w:r>
        <w:rPr>
          <w:rStyle w:val="Style14"/>
          <w:rFonts w:ascii="Times New Roman" w:hAnsi="Times New Roman"/>
          <w:color w:val="000000"/>
          <w:sz w:val="22"/>
        </w:rPr>
        <w:t>тренер з проєктного менеджменту, тренер НУШ, ментор швейцарсько-українського проєкту DECIDE, супервізор у сфері загальної середньої освіти</w:t>
      </w:r>
    </w:p>
    <w:p>
      <w:pPr>
        <w:pStyle w:val="Normal"/>
        <w:tabs>
          <w:tab w:val="clear" w:pos="709"/>
        </w:tabs>
        <w:ind w:start="170"/>
        <w:jc w:val="both"/>
        <w:rPr>
          <w:rFonts w:ascii="Times New Roman" w:hAnsi="Times New Roman"/>
          <w:sz w:val="10"/>
          <w:szCs w:val="12"/>
        </w:rPr>
      </w:pPr>
      <w:r>
        <w:rPr>
          <w:rFonts w:ascii="Times New Roman" w:hAnsi="Times New Roman"/>
          <w:sz w:val="10"/>
          <w:szCs w:val="12"/>
        </w:rPr>
      </w:r>
    </w:p>
    <w:p>
      <w:pPr>
        <w:pStyle w:val="Normal"/>
        <w:tabs>
          <w:tab w:val="clear" w:pos="709"/>
        </w:tabs>
        <w:ind w:start="170"/>
        <w:jc w:val="both"/>
        <w:rPr/>
      </w:pPr>
      <w:r>
        <w:rPr>
          <w:rStyle w:val="Style14"/>
          <w:rFonts w:ascii="Times New Roman" w:hAnsi="Times New Roman"/>
          <w:i/>
          <w:iCs/>
          <w:sz w:val="22"/>
        </w:rPr>
        <w:t>Смирнова Марина Євгенівна</w:t>
      </w:r>
      <w:r>
        <w:rPr>
          <w:rStyle w:val="Style14"/>
          <w:rFonts w:ascii="Times New Roman" w:hAnsi="Times New Roman"/>
          <w:sz w:val="22"/>
        </w:rPr>
        <w:t>, професор кафедри освітнього менеджменту та виховання,</w:t>
        <w:br/>
        <w:t>к. пед. н., тренер НУШ</w:t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uk-UA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uk-UA" w:eastAsia="zh-CN" w:bidi="hi-IN"/>
    </w:rPr>
  </w:style>
  <w:style w:type="character" w:styleId="Style14">
    <w:name w:val="Шрифт абзацу за промовчанням"/>
    <w:qFormat/>
    <w:rPr/>
  </w:style>
  <w:style w:type="character" w:styleId="Hyperlink">
    <w:name w:val="Hyperlink"/>
    <w:rPr>
      <w:color w:val="000080"/>
      <w:u w:val="single"/>
    </w:rPr>
  </w:style>
  <w:style w:type="character" w:styleId="2">
    <w:name w:val="Шрифт абзацу за замовчуванням2"/>
    <w:qFormat/>
    <w:rPr/>
  </w:style>
  <w:style w:type="paragraph" w:styleId="Style15">
    <w:name w:val="Звичайний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uk-UA" w:eastAsia="zh-CN" w:bidi="hi-IN"/>
    </w:rPr>
  </w:style>
  <w:style w:type="paragraph" w:styleId="Style16">
    <w:name w:val="Заголовок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user">
    <w:name w:val="Список (user)"/>
    <w:basedOn w:val="BodyText"/>
    <w:qFormat/>
    <w:pPr>
      <w:suppressAutoHyphens w:val="true"/>
    </w:pPr>
    <w:rPr/>
  </w:style>
  <w:style w:type="paragraph" w:styleId="Style17">
    <w:name w:val="Назва об'єкта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Style18">
    <w:name w:val="Указатель"/>
    <w:basedOn w:val="Normal"/>
    <w:qFormat/>
    <w:pPr>
      <w:suppressLineNumbers/>
      <w:suppressAutoHyphens w:val="true"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  <w:suppressAutoHyphens w:val="true"/>
    </w:pPr>
    <w:rPr/>
  </w:style>
  <w:style w:type="paragraph" w:styleId="Style20">
    <w:name w:val="Вміст таблиці"/>
    <w:basedOn w:val="Normal"/>
    <w:qFormat/>
    <w:pPr>
      <w:widowControl w:val="false"/>
      <w:suppressLineNumbers/>
      <w:suppressAutoHyphens w:val="true"/>
    </w:pPr>
    <w:rPr/>
  </w:style>
  <w:style w:type="paragraph" w:styleId="Standard">
    <w:name w:val="Standard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uk-UA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LibreOffice/25.2.3.2$Linux_X86_64 LibreOffice_project/520$Build-2</Application>
  <AppVersion>15.0000</AppVersion>
  <Pages>2</Pages>
  <Words>2740</Words>
  <Characters>1562</Characters>
  <CharactersWithSpaces>4294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2026-10-21T17:10:00Z</dcterms:created>
  <dc:creator/>
  <dc:description/>
  <dc:language>uk-UA</dc:language>
  <cp:lastModifiedBy>Тетяна Папернова</cp:lastModifiedBy>
  <dcterms:modified xsi:type="dcterms:W3CDTF">2026-10-26T07:03:00Z</dcterms:modified>
  <cp:revision>9</cp:revision>
  <dc:subject/>
  <dc:title/>
</cp:coreProperties>
</file>