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B7970" w14:textId="77777777" w:rsidR="00812E01" w:rsidRDefault="00812E01" w:rsidP="00626D0C">
      <w:pPr>
        <w:ind w:left="4956" w:firstLine="708"/>
        <w:jc w:val="right"/>
        <w:rPr>
          <w:b/>
          <w:sz w:val="24"/>
        </w:rPr>
      </w:pPr>
    </w:p>
    <w:p w14:paraId="28AC68DF" w14:textId="28C5856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5771CC3F" w:rsidR="00626D0C" w:rsidRPr="00EC3CE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EC3CEA">
        <w:rPr>
          <w:b/>
          <w:bCs/>
          <w:sz w:val="24"/>
          <w:szCs w:val="24"/>
        </w:rPr>
        <w:t>/викладачів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EC3CEA">
        <w:rPr>
          <w:b/>
          <w:bCs/>
          <w:sz w:val="24"/>
          <w:szCs w:val="24"/>
        </w:rPr>
        <w:t>географії</w:t>
      </w:r>
    </w:p>
    <w:p w14:paraId="26DC55E1" w14:textId="77777777" w:rsidR="00544D9B" w:rsidRPr="00C84CE5" w:rsidRDefault="00544D9B" w:rsidP="00544D9B">
      <w:pPr>
        <w:jc w:val="center"/>
        <w:rPr>
          <w:b/>
          <w:sz w:val="24"/>
          <w:szCs w:val="24"/>
        </w:rPr>
      </w:pPr>
      <w:r w:rsidRPr="00C84CE5">
        <w:rPr>
          <w:b/>
          <w:sz w:val="24"/>
          <w:szCs w:val="24"/>
        </w:rPr>
        <w:t>за освітньою програмою</w:t>
      </w:r>
      <w:r w:rsidR="00E641CE" w:rsidRPr="00C84CE5">
        <w:rPr>
          <w:b/>
          <w:sz w:val="24"/>
          <w:szCs w:val="24"/>
        </w:rPr>
        <w:t xml:space="preserve"> </w:t>
      </w:r>
      <w:r w:rsidRPr="00C84CE5">
        <w:rPr>
          <w:b/>
          <w:sz w:val="24"/>
          <w:szCs w:val="24"/>
        </w:rPr>
        <w:t xml:space="preserve">з теми </w:t>
      </w:r>
    </w:p>
    <w:p w14:paraId="6DD76B75" w14:textId="33AB3B6B" w:rsidR="00544D9B" w:rsidRPr="00C84CE5" w:rsidRDefault="00EC3CEA" w:rsidP="004243CF">
      <w:pPr>
        <w:jc w:val="center"/>
        <w:rPr>
          <w:b/>
          <w:bCs/>
          <w:i/>
          <w:sz w:val="26"/>
          <w:szCs w:val="26"/>
        </w:rPr>
      </w:pPr>
      <w:r w:rsidRPr="00C84CE5">
        <w:rPr>
          <w:b/>
          <w:bCs/>
          <w:i/>
          <w:sz w:val="26"/>
          <w:szCs w:val="26"/>
        </w:rPr>
        <w:t>«</w:t>
      </w:r>
      <w:r w:rsidR="00C84CE5" w:rsidRPr="00C84CE5">
        <w:rPr>
          <w:b/>
          <w:bCs/>
          <w:i/>
          <w:sz w:val="26"/>
          <w:szCs w:val="26"/>
        </w:rPr>
        <w:t xml:space="preserve">Кейси вчителя географії для формування </w:t>
      </w:r>
      <w:proofErr w:type="spellStart"/>
      <w:r w:rsidR="00C84CE5" w:rsidRPr="00C84CE5">
        <w:rPr>
          <w:b/>
          <w:bCs/>
          <w:i/>
          <w:sz w:val="26"/>
          <w:szCs w:val="26"/>
        </w:rPr>
        <w:t>геопросторового</w:t>
      </w:r>
      <w:proofErr w:type="spellEnd"/>
      <w:r w:rsidR="00C84CE5" w:rsidRPr="00C84CE5">
        <w:rPr>
          <w:b/>
          <w:bCs/>
          <w:i/>
          <w:sz w:val="26"/>
          <w:szCs w:val="26"/>
        </w:rPr>
        <w:t xml:space="preserve">  мислення</w:t>
      </w:r>
      <w:r w:rsidRPr="00C84CE5">
        <w:rPr>
          <w:b/>
          <w:bCs/>
          <w:i/>
          <w:sz w:val="26"/>
          <w:szCs w:val="26"/>
        </w:rPr>
        <w:t>»</w:t>
      </w:r>
    </w:p>
    <w:p w14:paraId="7C4255B8" w14:textId="77777777" w:rsidR="007E2A3B" w:rsidRPr="00C84CE5" w:rsidRDefault="007E2A3B" w:rsidP="004243CF">
      <w:pPr>
        <w:jc w:val="center"/>
        <w:rPr>
          <w:b/>
          <w:sz w:val="26"/>
          <w:szCs w:val="26"/>
        </w:rPr>
      </w:pPr>
    </w:p>
    <w:p w14:paraId="03CB2ED6" w14:textId="31B24865" w:rsidR="00BA7CB9" w:rsidRPr="00C84CE5" w:rsidRDefault="00544D9B" w:rsidP="00EC3CEA">
      <w:pPr>
        <w:rPr>
          <w:sz w:val="24"/>
          <w:szCs w:val="24"/>
        </w:rPr>
      </w:pPr>
      <w:r w:rsidRPr="00C84CE5">
        <w:rPr>
          <w:b/>
          <w:sz w:val="24"/>
          <w:szCs w:val="24"/>
        </w:rPr>
        <w:t>Термін навчання:</w:t>
      </w:r>
      <w:r w:rsidR="005717A0" w:rsidRPr="00C84CE5">
        <w:t xml:space="preserve"> </w:t>
      </w:r>
      <w:r w:rsidR="00E943A5" w:rsidRPr="00C84CE5">
        <w:rPr>
          <w:sz w:val="24"/>
          <w:szCs w:val="24"/>
        </w:rPr>
        <w:t xml:space="preserve"> </w:t>
      </w:r>
      <w:r w:rsidR="00C84CE5">
        <w:rPr>
          <w:sz w:val="24"/>
          <w:szCs w:val="24"/>
        </w:rPr>
        <w:t>11</w:t>
      </w:r>
      <w:r w:rsidR="00EC3CEA" w:rsidRPr="00C84CE5">
        <w:rPr>
          <w:sz w:val="24"/>
          <w:szCs w:val="24"/>
        </w:rPr>
        <w:t>.0</w:t>
      </w:r>
      <w:r w:rsidR="00C84CE5">
        <w:rPr>
          <w:sz w:val="24"/>
          <w:szCs w:val="24"/>
        </w:rPr>
        <w:t xml:space="preserve">5 </w:t>
      </w:r>
      <w:r w:rsidR="00EC3CEA" w:rsidRPr="00C84CE5">
        <w:rPr>
          <w:sz w:val="24"/>
          <w:szCs w:val="24"/>
        </w:rPr>
        <w:t>–</w:t>
      </w:r>
      <w:r w:rsidR="00C84CE5">
        <w:rPr>
          <w:sz w:val="24"/>
          <w:szCs w:val="24"/>
        </w:rPr>
        <w:t xml:space="preserve"> </w:t>
      </w:r>
      <w:r w:rsidR="00EC3CEA" w:rsidRPr="00C84CE5">
        <w:rPr>
          <w:sz w:val="24"/>
          <w:szCs w:val="24"/>
        </w:rPr>
        <w:t>2</w:t>
      </w:r>
      <w:r w:rsidR="00C84CE5">
        <w:rPr>
          <w:sz w:val="24"/>
          <w:szCs w:val="24"/>
        </w:rPr>
        <w:t>9</w:t>
      </w:r>
      <w:r w:rsidR="00EC3CEA" w:rsidRPr="00C84CE5">
        <w:rPr>
          <w:sz w:val="24"/>
          <w:szCs w:val="24"/>
        </w:rPr>
        <w:t>.0</w:t>
      </w:r>
      <w:r w:rsidR="00C84CE5">
        <w:rPr>
          <w:sz w:val="24"/>
          <w:szCs w:val="24"/>
        </w:rPr>
        <w:t>5</w:t>
      </w:r>
      <w:r w:rsidR="00EC3CEA" w:rsidRPr="00C84CE5">
        <w:rPr>
          <w:sz w:val="24"/>
          <w:szCs w:val="24"/>
        </w:rPr>
        <w:t>.2026</w:t>
      </w:r>
    </w:p>
    <w:p w14:paraId="17DF7B8B" w14:textId="1842DEC5" w:rsidR="007E2A3B" w:rsidRPr="00C84CE5" w:rsidRDefault="00BA7CB9" w:rsidP="00EC3CEA">
      <w:pPr>
        <w:rPr>
          <w:sz w:val="24"/>
          <w:szCs w:val="24"/>
        </w:rPr>
      </w:pPr>
      <w:r w:rsidRPr="00C84CE5">
        <w:rPr>
          <w:sz w:val="24"/>
          <w:szCs w:val="24"/>
        </w:rPr>
        <w:t xml:space="preserve">Група № </w:t>
      </w:r>
      <w:r w:rsidR="00C84CE5" w:rsidRPr="00C84CE5">
        <w:rPr>
          <w:sz w:val="24"/>
          <w:szCs w:val="24"/>
        </w:rPr>
        <w:t>115</w:t>
      </w:r>
      <w:r w:rsidR="003C5044" w:rsidRPr="00C84CE5">
        <w:rPr>
          <w:sz w:val="24"/>
          <w:szCs w:val="24"/>
        </w:rPr>
        <w:tab/>
      </w:r>
      <w:r w:rsidR="003C5044" w:rsidRPr="00C84CE5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2835"/>
        <w:gridCol w:w="851"/>
        <w:gridCol w:w="1134"/>
        <w:gridCol w:w="1281"/>
        <w:gridCol w:w="1284"/>
        <w:gridCol w:w="1562"/>
      </w:tblGrid>
      <w:tr w:rsidR="00596DD1" w:rsidRPr="00BC16C0" w14:paraId="0D6DA718" w14:textId="77777777" w:rsidTr="00902360">
        <w:trPr>
          <w:trHeight w:val="769"/>
        </w:trPr>
        <w:tc>
          <w:tcPr>
            <w:tcW w:w="421" w:type="dxa"/>
            <w:vMerge w:val="restart"/>
            <w:vAlign w:val="center"/>
          </w:tcPr>
          <w:p w14:paraId="4E2D9E27" w14:textId="77777777" w:rsidR="00596DD1" w:rsidRPr="00BC16C0" w:rsidRDefault="00596DD1" w:rsidP="0090236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08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835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50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562" w:type="dxa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02360" w:rsidRPr="00BC16C0" w14:paraId="1C48601F" w14:textId="77777777" w:rsidTr="00902360">
        <w:tc>
          <w:tcPr>
            <w:tcW w:w="421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08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4450FE" w14:textId="0EEF4CC1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14:paraId="44DC21E3" w14:textId="542FA0F8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81" w:type="dxa"/>
          </w:tcPr>
          <w:p w14:paraId="066F5C9E" w14:textId="6F716A8D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CF4CE9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562" w:type="dxa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F73432" w:rsidRPr="00BC16C0" w14:paraId="72F6ED5B" w14:textId="77777777" w:rsidTr="00902360">
        <w:tc>
          <w:tcPr>
            <w:tcW w:w="421" w:type="dxa"/>
          </w:tcPr>
          <w:p w14:paraId="1F9C3DE9" w14:textId="6B406C4D" w:rsidR="00F73432" w:rsidRPr="00F5695A" w:rsidRDefault="00F73432" w:rsidP="00F73432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7809229" w14:textId="7890E4B5" w:rsidR="00F73432" w:rsidRPr="00F5695A" w:rsidRDefault="00C84CE5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="00F73432" w:rsidRPr="00F5695A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F73432" w:rsidRPr="00F5695A">
              <w:rPr>
                <w:bCs/>
                <w:color w:val="000000" w:themeColor="text1"/>
                <w:sz w:val="22"/>
                <w:szCs w:val="22"/>
              </w:rPr>
              <w:t>.</w:t>
            </w:r>
          </w:p>
          <w:p w14:paraId="47FFD369" w14:textId="549B5A5A" w:rsidR="00F73432" w:rsidRPr="00F5695A" w:rsidRDefault="00F73432" w:rsidP="00902360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F5695A">
              <w:rPr>
                <w:b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C5E2CBA" w14:textId="27EADA9C" w:rsidR="00F73432" w:rsidRPr="00F5695A" w:rsidRDefault="00F73432" w:rsidP="00902360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03E69D49" w14:textId="1E5C156B" w:rsidR="00F73432" w:rsidRPr="00BC16C0" w:rsidRDefault="00902360" w:rsidP="00F73432">
            <w:pPr>
              <w:jc w:val="left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851" w:type="dxa"/>
            <w:vAlign w:val="center"/>
          </w:tcPr>
          <w:p w14:paraId="412CB876" w14:textId="4DAE7F24" w:rsidR="00F73432" w:rsidRPr="00CF4CE9" w:rsidRDefault="00902360" w:rsidP="00F73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2ADE360" w14:textId="3A506DAE" w:rsidR="00F73432" w:rsidRPr="00CF4CE9" w:rsidRDefault="00902360" w:rsidP="00F73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45094A2B" w14:textId="77777777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A166EB6" w14:textId="647D72DD" w:rsidR="00F73432" w:rsidRPr="00CF4CE9" w:rsidRDefault="00F73432" w:rsidP="00F73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0E1B776" w14:textId="513FD957" w:rsidR="00F73432" w:rsidRPr="00902360" w:rsidRDefault="00902360" w:rsidP="00902360">
            <w:pPr>
              <w:ind w:right="-57"/>
              <w:rPr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Грінченко О.І.</w:t>
            </w:r>
          </w:p>
          <w:p w14:paraId="6BAD5085" w14:textId="2C8105FA" w:rsidR="00F73432" w:rsidRPr="00902360" w:rsidRDefault="00F73432" w:rsidP="00902360">
            <w:pPr>
              <w:ind w:right="-57"/>
              <w:jc w:val="left"/>
              <w:rPr>
                <w:sz w:val="22"/>
                <w:szCs w:val="22"/>
              </w:rPr>
            </w:pPr>
          </w:p>
        </w:tc>
      </w:tr>
      <w:tr w:rsidR="00C84CE5" w:rsidRPr="00BC16C0" w14:paraId="4607ECB9" w14:textId="77777777" w:rsidTr="00902360">
        <w:tc>
          <w:tcPr>
            <w:tcW w:w="421" w:type="dxa"/>
          </w:tcPr>
          <w:p w14:paraId="32D14C45" w14:textId="77777777" w:rsidR="00C84CE5" w:rsidRPr="00F5695A" w:rsidRDefault="00C84CE5" w:rsidP="00C84CE5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B4EDABF" w14:textId="5ABA2BC0" w:rsidR="00C84CE5" w:rsidRPr="00902360" w:rsidRDefault="00C84CE5" w:rsidP="00C84CE5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2267AF16" w14:textId="5B2AAFDF" w:rsidR="00C84CE5" w:rsidRDefault="00C84CE5" w:rsidP="00C84CE5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EB4A56C" w14:textId="0FA9D9BA" w:rsidR="00C84CE5" w:rsidRDefault="00C84CE5" w:rsidP="00C84CE5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733B168B" w14:textId="79DD9753" w:rsidR="00C84CE5" w:rsidRPr="00902360" w:rsidRDefault="00C84CE5" w:rsidP="00C84CE5">
            <w:pPr>
              <w:jc w:val="left"/>
              <w:rPr>
                <w:sz w:val="22"/>
                <w:szCs w:val="22"/>
              </w:rPr>
            </w:pPr>
            <w:r w:rsidRPr="00C84CE5">
              <w:rPr>
                <w:rFonts w:eastAsia="Times New Roman"/>
                <w:iCs/>
                <w:sz w:val="22"/>
                <w:szCs w:val="22"/>
              </w:rPr>
              <w:t>Географічна освіта: завдання, виклики, засадничі принципи навчання</w:t>
            </w:r>
          </w:p>
        </w:tc>
        <w:tc>
          <w:tcPr>
            <w:tcW w:w="851" w:type="dxa"/>
            <w:vAlign w:val="center"/>
          </w:tcPr>
          <w:p w14:paraId="3CDCCB81" w14:textId="1911504F" w:rsidR="00C84CE5" w:rsidRDefault="00C84CE5" w:rsidP="00C84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D77FB30" w14:textId="484297EE" w:rsidR="00C84CE5" w:rsidRDefault="00C84CE5" w:rsidP="00C8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7EEC4CC8" w14:textId="45033972" w:rsidR="00C84CE5" w:rsidRPr="00CF4CE9" w:rsidRDefault="00C84CE5" w:rsidP="00C8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14:paraId="4A4A87AC" w14:textId="77777777" w:rsidR="00C84CE5" w:rsidRPr="00CF4CE9" w:rsidRDefault="00C84CE5" w:rsidP="00C8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843A46F" w14:textId="3DCB5CE7" w:rsidR="00C84CE5" w:rsidRPr="00902360" w:rsidRDefault="00C84CE5" w:rsidP="00C84CE5">
            <w:pPr>
              <w:ind w:right="-57"/>
              <w:rPr>
                <w:sz w:val="22"/>
                <w:szCs w:val="22"/>
              </w:rPr>
            </w:pPr>
            <w:r w:rsidRPr="00797092">
              <w:rPr>
                <w:rFonts w:eastAsia="Times New Roman"/>
                <w:iCs/>
                <w:sz w:val="22"/>
                <w:szCs w:val="22"/>
              </w:rPr>
              <w:t>Грінченко О.І</w:t>
            </w:r>
            <w:r>
              <w:rPr>
                <w:rFonts w:eastAsia="Times New Roman"/>
                <w:iCs/>
                <w:sz w:val="22"/>
                <w:szCs w:val="22"/>
              </w:rPr>
              <w:t>.</w:t>
            </w:r>
          </w:p>
        </w:tc>
      </w:tr>
      <w:tr w:rsidR="00C84CE5" w:rsidRPr="00BC16C0" w14:paraId="3850F144" w14:textId="77777777" w:rsidTr="00902360">
        <w:tc>
          <w:tcPr>
            <w:tcW w:w="421" w:type="dxa"/>
          </w:tcPr>
          <w:p w14:paraId="39DD4ED9" w14:textId="77777777" w:rsidR="00C84CE5" w:rsidRPr="00F5695A" w:rsidRDefault="00C84CE5" w:rsidP="00C84CE5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3874349" w14:textId="4A663D3C" w:rsidR="00C84CE5" w:rsidRPr="00902360" w:rsidRDefault="00C84CE5" w:rsidP="00C84CE5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7A269C04" w14:textId="172D009E" w:rsidR="00C84CE5" w:rsidRDefault="00C84CE5" w:rsidP="00C84CE5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63C46B5" w14:textId="347D709C" w:rsidR="00C84CE5" w:rsidRDefault="00C84CE5" w:rsidP="00C84CE5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41714DF8" w14:textId="4ADAC299" w:rsidR="00C84CE5" w:rsidRPr="00C84CE5" w:rsidRDefault="001D7707" w:rsidP="00C84CE5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D7707">
              <w:rPr>
                <w:rFonts w:eastAsia="Times New Roman"/>
                <w:iCs/>
                <w:sz w:val="22"/>
                <w:szCs w:val="22"/>
              </w:rPr>
              <w:t>Відкриваємо світ і Україну засобами географічного дослідження</w:t>
            </w:r>
          </w:p>
        </w:tc>
        <w:tc>
          <w:tcPr>
            <w:tcW w:w="851" w:type="dxa"/>
            <w:vAlign w:val="center"/>
          </w:tcPr>
          <w:p w14:paraId="32C8F01F" w14:textId="39ADD9CA" w:rsidR="00C84CE5" w:rsidRDefault="00C84CE5" w:rsidP="00C84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1B0A49C" w14:textId="5D88EA8E" w:rsidR="00C84CE5" w:rsidRDefault="00C84CE5" w:rsidP="00C84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50A7DC39" w14:textId="28985BE7" w:rsidR="00C84CE5" w:rsidRDefault="00C84CE5" w:rsidP="00C8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2B85198" w14:textId="77777777" w:rsidR="00C84CE5" w:rsidRPr="00CF4CE9" w:rsidRDefault="00C84CE5" w:rsidP="00C84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41F1ABA" w14:textId="24B606BC" w:rsidR="00C84CE5" w:rsidRPr="00797092" w:rsidRDefault="00C84CE5" w:rsidP="00C84CE5">
            <w:pPr>
              <w:ind w:right="-57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sz w:val="22"/>
                <w:szCs w:val="22"/>
              </w:rPr>
              <w:t>Грінченко О.І.</w:t>
            </w:r>
          </w:p>
        </w:tc>
      </w:tr>
      <w:tr w:rsidR="001D7707" w:rsidRPr="00BC16C0" w14:paraId="3EEC13AE" w14:textId="77777777" w:rsidTr="00902360">
        <w:tc>
          <w:tcPr>
            <w:tcW w:w="421" w:type="dxa"/>
          </w:tcPr>
          <w:p w14:paraId="7CB8D04B" w14:textId="77777777" w:rsidR="001D7707" w:rsidRPr="00F5695A" w:rsidRDefault="001D7707" w:rsidP="001D7707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DAF81B1" w14:textId="124297C5" w:rsidR="001D7707" w:rsidRPr="00902360" w:rsidRDefault="001D7707" w:rsidP="001D7707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4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591BC009" w14:textId="610F539E" w:rsidR="001D7707" w:rsidRPr="00902360" w:rsidRDefault="001D7707" w:rsidP="001D7707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8A2FD9A" w14:textId="2407B8F4" w:rsidR="001D7707" w:rsidRDefault="001D7707" w:rsidP="001D7707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18.30–20.00</w:t>
            </w:r>
          </w:p>
        </w:tc>
        <w:tc>
          <w:tcPr>
            <w:tcW w:w="2835" w:type="dxa"/>
          </w:tcPr>
          <w:p w14:paraId="3FE7B8BD" w14:textId="5092083A" w:rsidR="001D7707" w:rsidRPr="001D7707" w:rsidRDefault="00AD6678" w:rsidP="001D770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AD6678">
              <w:rPr>
                <w:rFonts w:eastAsia="Times New Roman"/>
                <w:iCs/>
                <w:sz w:val="22"/>
                <w:szCs w:val="22"/>
              </w:rPr>
              <w:t>Проєктування</w:t>
            </w:r>
            <w:proofErr w:type="spellEnd"/>
            <w:r w:rsidRPr="00AD6678">
              <w:rPr>
                <w:rFonts w:eastAsia="Times New Roman"/>
                <w:iCs/>
                <w:sz w:val="22"/>
                <w:szCs w:val="22"/>
              </w:rPr>
              <w:t xml:space="preserve"> результативного уроку географії</w:t>
            </w:r>
          </w:p>
        </w:tc>
        <w:tc>
          <w:tcPr>
            <w:tcW w:w="851" w:type="dxa"/>
            <w:vAlign w:val="center"/>
          </w:tcPr>
          <w:p w14:paraId="37A7028D" w14:textId="15578A23" w:rsidR="001D7707" w:rsidRDefault="001D7707" w:rsidP="001D77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D19B789" w14:textId="5A5B17C9" w:rsidR="001D7707" w:rsidRDefault="001D7707" w:rsidP="001D77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7EA2D437" w14:textId="77777777" w:rsidR="001D7707" w:rsidRDefault="001D7707" w:rsidP="001D7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7B42CD4" w14:textId="77777777" w:rsidR="001D7707" w:rsidRPr="00CF4CE9" w:rsidRDefault="001D7707" w:rsidP="001D7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6289BC0" w14:textId="73AC6743" w:rsidR="001D7707" w:rsidRPr="00902360" w:rsidRDefault="001D7707" w:rsidP="001D7707">
            <w:pPr>
              <w:ind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Блізнякова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</w:tr>
      <w:tr w:rsidR="00AD6678" w:rsidRPr="00BC16C0" w14:paraId="791718E1" w14:textId="77777777" w:rsidTr="00902360">
        <w:tc>
          <w:tcPr>
            <w:tcW w:w="421" w:type="dxa"/>
          </w:tcPr>
          <w:p w14:paraId="4CCC74C5" w14:textId="77777777" w:rsidR="00AD6678" w:rsidRPr="00F5695A" w:rsidRDefault="00AD6678" w:rsidP="00AD6678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5632839" w14:textId="56C5D536" w:rsidR="00AD6678" w:rsidRPr="00902360" w:rsidRDefault="00AD6678" w:rsidP="00AD6678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5AA88893" w14:textId="280AF3F7" w:rsidR="00AD6678" w:rsidRPr="00902360" w:rsidRDefault="00AD6678" w:rsidP="00AD6678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E8C5588" w14:textId="473E1BBA" w:rsidR="00AD6678" w:rsidRDefault="00AD6678" w:rsidP="00AD6678">
            <w:pPr>
              <w:ind w:left="-57" w:right="-57"/>
              <w:rPr>
                <w:bCs/>
                <w:sz w:val="22"/>
                <w:szCs w:val="22"/>
              </w:rPr>
            </w:pPr>
            <w:r w:rsidRPr="00126B42"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38BA0BFD" w14:textId="289FD024" w:rsidR="00AD6678" w:rsidRPr="00AD6678" w:rsidRDefault="00AD6678" w:rsidP="00AD667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AD6678">
              <w:rPr>
                <w:rFonts w:eastAsia="Times New Roman"/>
                <w:iCs/>
                <w:sz w:val="22"/>
                <w:szCs w:val="22"/>
              </w:rPr>
              <w:t>Земля як геосистема: усвідомлюємо закономірності природи</w:t>
            </w:r>
          </w:p>
        </w:tc>
        <w:tc>
          <w:tcPr>
            <w:tcW w:w="851" w:type="dxa"/>
            <w:vAlign w:val="center"/>
          </w:tcPr>
          <w:p w14:paraId="546AAA9F" w14:textId="75183E68" w:rsidR="00AD6678" w:rsidRDefault="00AD6678" w:rsidP="00AD66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B207B11" w14:textId="3E1F0A87" w:rsidR="00AD6678" w:rsidRDefault="00AD6678" w:rsidP="00AD6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481E04D5" w14:textId="77777777" w:rsidR="00AD6678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AC280F" w14:textId="77777777" w:rsidR="00AD6678" w:rsidRPr="00CF4CE9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189A8A1" w14:textId="47E3A280" w:rsidR="00AD6678" w:rsidRDefault="00AD6678" w:rsidP="00AD6678">
            <w:pPr>
              <w:ind w:right="-57"/>
              <w:rPr>
                <w:sz w:val="22"/>
                <w:szCs w:val="22"/>
              </w:rPr>
            </w:pPr>
            <w:r w:rsidRPr="00797092">
              <w:rPr>
                <w:sz w:val="22"/>
                <w:szCs w:val="22"/>
              </w:rPr>
              <w:t>Грінченко О.І</w:t>
            </w:r>
            <w:r>
              <w:rPr>
                <w:sz w:val="22"/>
                <w:szCs w:val="22"/>
              </w:rPr>
              <w:t>.</w:t>
            </w:r>
          </w:p>
        </w:tc>
      </w:tr>
      <w:tr w:rsidR="00AD6678" w:rsidRPr="00BC16C0" w14:paraId="36932CF8" w14:textId="77777777" w:rsidTr="00902360">
        <w:tc>
          <w:tcPr>
            <w:tcW w:w="421" w:type="dxa"/>
          </w:tcPr>
          <w:p w14:paraId="74CCC62F" w14:textId="77777777" w:rsidR="00AD6678" w:rsidRPr="00F5695A" w:rsidRDefault="00AD6678" w:rsidP="00AD6678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FF339D3" w14:textId="1C29BC2A" w:rsidR="00AD6678" w:rsidRPr="00F5695A" w:rsidRDefault="00AD6678" w:rsidP="00AD6678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6EDBEAD0" w14:textId="70FE1DD4" w:rsidR="00AD6678" w:rsidRDefault="00AD6678" w:rsidP="00AD6678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F5695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5CC2394" w14:textId="0A9D3D26" w:rsidR="00AD6678" w:rsidRDefault="00AD6678" w:rsidP="00AD6678">
            <w:pPr>
              <w:ind w:left="-57" w:right="-57"/>
              <w:rPr>
                <w:bCs/>
                <w:sz w:val="22"/>
                <w:szCs w:val="22"/>
              </w:rPr>
            </w:pPr>
            <w:r w:rsidRPr="00CF4CE9">
              <w:rPr>
                <w:rFonts w:eastAsia="Times New Roman"/>
                <w:iCs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sz w:val="22"/>
                <w:szCs w:val="22"/>
              </w:rPr>
              <w:t>8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.00</w:t>
            </w:r>
            <w:r>
              <w:rPr>
                <w:rFonts w:eastAsia="Times New Roman"/>
                <w:iCs/>
                <w:sz w:val="22"/>
                <w:szCs w:val="22"/>
              </w:rPr>
              <w:t>–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sz w:val="22"/>
                <w:szCs w:val="22"/>
              </w:rPr>
              <w:t>9</w:t>
            </w:r>
            <w:r w:rsidRPr="00CF4CE9">
              <w:rPr>
                <w:rFonts w:eastAsia="Times New Roman"/>
                <w:iCs/>
                <w:sz w:val="22"/>
                <w:szCs w:val="22"/>
              </w:rPr>
              <w:t>.30</w:t>
            </w:r>
          </w:p>
        </w:tc>
        <w:tc>
          <w:tcPr>
            <w:tcW w:w="2835" w:type="dxa"/>
          </w:tcPr>
          <w:p w14:paraId="037D9B8B" w14:textId="21173FDD" w:rsidR="00AD6678" w:rsidRPr="00902360" w:rsidRDefault="00AD6678" w:rsidP="00AD6678">
            <w:pPr>
              <w:jc w:val="left"/>
              <w:rPr>
                <w:sz w:val="22"/>
                <w:szCs w:val="22"/>
              </w:rPr>
            </w:pPr>
            <w:r w:rsidRPr="00AD6678">
              <w:rPr>
                <w:sz w:val="22"/>
                <w:szCs w:val="22"/>
              </w:rPr>
              <w:t>Цифровий кейс учителя географії:  інноваційні інструменти та нові можливості</w:t>
            </w:r>
          </w:p>
        </w:tc>
        <w:tc>
          <w:tcPr>
            <w:tcW w:w="851" w:type="dxa"/>
            <w:vAlign w:val="center"/>
          </w:tcPr>
          <w:p w14:paraId="04C4CE82" w14:textId="543DF48D" w:rsidR="00AD6678" w:rsidRDefault="00AD6678" w:rsidP="00AD66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330EBF" w14:textId="67DBBA55" w:rsidR="00AD6678" w:rsidRDefault="00AD6678" w:rsidP="00AD6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7AC96DBB" w14:textId="77777777" w:rsidR="00AD6678" w:rsidRPr="00CF4CE9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C838F8E" w14:textId="77777777" w:rsidR="00AD6678" w:rsidRPr="00CF4CE9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73884B68" w14:textId="77777777" w:rsidR="00AD6678" w:rsidRPr="00902360" w:rsidRDefault="00AD6678" w:rsidP="00AD6678">
            <w:pPr>
              <w:ind w:right="-57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902360">
              <w:rPr>
                <w:sz w:val="22"/>
                <w:szCs w:val="22"/>
              </w:rPr>
              <w:t>Саввіч</w:t>
            </w:r>
            <w:proofErr w:type="spellEnd"/>
            <w:r w:rsidRPr="00902360">
              <w:rPr>
                <w:sz w:val="22"/>
                <w:szCs w:val="22"/>
              </w:rPr>
              <w:t xml:space="preserve"> О.М.</w:t>
            </w:r>
          </w:p>
          <w:p w14:paraId="7E26EE5C" w14:textId="77777777" w:rsidR="00AD6678" w:rsidRPr="00902360" w:rsidRDefault="00AD6678" w:rsidP="00AD6678">
            <w:pPr>
              <w:ind w:right="-57"/>
              <w:rPr>
                <w:sz w:val="22"/>
                <w:szCs w:val="22"/>
              </w:rPr>
            </w:pPr>
          </w:p>
        </w:tc>
      </w:tr>
      <w:tr w:rsidR="00AD6678" w:rsidRPr="00BC16C0" w14:paraId="701B43AD" w14:textId="77777777" w:rsidTr="00902360">
        <w:tc>
          <w:tcPr>
            <w:tcW w:w="421" w:type="dxa"/>
          </w:tcPr>
          <w:p w14:paraId="0C1E5529" w14:textId="0D660FB5" w:rsidR="00AD6678" w:rsidRPr="00F5695A" w:rsidRDefault="00AD6678" w:rsidP="00AD6678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BFC1DE" w14:textId="1FE894C5" w:rsidR="00AD6678" w:rsidRPr="00902360" w:rsidRDefault="00AD6678" w:rsidP="00AD6678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02B5BDF2" w14:textId="5F7D3B13" w:rsidR="00AD6678" w:rsidRPr="00F5695A" w:rsidRDefault="00AD6678" w:rsidP="00AD6678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11449B4C" w14:textId="62502CCB" w:rsidR="00AD6678" w:rsidRPr="00F5695A" w:rsidRDefault="00AD6678" w:rsidP="00AD6678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100676CD" w14:textId="71C9F948" w:rsidR="00AD6678" w:rsidRPr="00BC16C0" w:rsidRDefault="00362EF3" w:rsidP="00AD6678">
            <w:pPr>
              <w:jc w:val="left"/>
              <w:rPr>
                <w:sz w:val="22"/>
                <w:szCs w:val="22"/>
              </w:rPr>
            </w:pPr>
            <w:r w:rsidRPr="00362EF3">
              <w:rPr>
                <w:rFonts w:eastAsia="Times New Roman"/>
                <w:iCs/>
                <w:sz w:val="22"/>
                <w:szCs w:val="22"/>
              </w:rPr>
              <w:t>Раціональне природокористування або як забезпечити сталий розвиток суспільства</w:t>
            </w:r>
          </w:p>
        </w:tc>
        <w:tc>
          <w:tcPr>
            <w:tcW w:w="851" w:type="dxa"/>
            <w:vAlign w:val="center"/>
          </w:tcPr>
          <w:p w14:paraId="630845D3" w14:textId="231A6A34" w:rsidR="00AD6678" w:rsidRPr="00CF4CE9" w:rsidRDefault="00AD6678" w:rsidP="00AD66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62EF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2B7F754" w14:textId="36F654A7" w:rsidR="00AD6678" w:rsidRPr="00CF4CE9" w:rsidRDefault="00362EF3" w:rsidP="00AD6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157D4A8A" w14:textId="77777777" w:rsidR="00AD6678" w:rsidRPr="00CF4CE9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E83D7E2" w14:textId="77777777" w:rsidR="00AD6678" w:rsidRPr="00CF4CE9" w:rsidRDefault="00AD6678" w:rsidP="00AD6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4F6BA810" w14:textId="1B658BD9" w:rsidR="00AD6678" w:rsidRPr="00902360" w:rsidRDefault="00AD6678" w:rsidP="00AD6678">
            <w:pPr>
              <w:ind w:right="-57"/>
              <w:jc w:val="left"/>
              <w:rPr>
                <w:bCs/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Грінченко О.І.</w:t>
            </w:r>
          </w:p>
        </w:tc>
      </w:tr>
      <w:tr w:rsidR="00362EF3" w:rsidRPr="00BC16C0" w14:paraId="648E004D" w14:textId="77777777" w:rsidTr="00902360">
        <w:tc>
          <w:tcPr>
            <w:tcW w:w="421" w:type="dxa"/>
          </w:tcPr>
          <w:p w14:paraId="508611E7" w14:textId="77777777" w:rsidR="00362EF3" w:rsidRPr="00F5695A" w:rsidRDefault="00362EF3" w:rsidP="00362EF3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09EF7A0" w14:textId="452D1091" w:rsidR="00362EF3" w:rsidRPr="00902360" w:rsidRDefault="00362EF3" w:rsidP="00362EF3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269BE28" w14:textId="1D8EADFD" w:rsidR="00362EF3" w:rsidRDefault="00362EF3" w:rsidP="00362EF3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6DB0EC4E" w14:textId="05C67A16" w:rsidR="00362EF3" w:rsidRDefault="00362EF3" w:rsidP="00362EF3">
            <w:pPr>
              <w:ind w:left="-57" w:right="-57"/>
              <w:rPr>
                <w:bCs/>
                <w:sz w:val="22"/>
                <w:szCs w:val="22"/>
              </w:rPr>
            </w:pPr>
            <w:r w:rsidRPr="00362EF3"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37665C21" w14:textId="7AC6C5AB" w:rsidR="00362EF3" w:rsidRPr="00362EF3" w:rsidRDefault="00362EF3" w:rsidP="00362EF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362EF3">
              <w:rPr>
                <w:rFonts w:eastAsia="Times New Roman"/>
                <w:iCs/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51" w:type="dxa"/>
            <w:vAlign w:val="center"/>
          </w:tcPr>
          <w:p w14:paraId="6CE93820" w14:textId="76EC1C42" w:rsidR="00362EF3" w:rsidRDefault="00362EF3" w:rsidP="00362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A1B112B" w14:textId="5B050251" w:rsidR="00362EF3" w:rsidRDefault="00362EF3" w:rsidP="00362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B6E8E0B" w14:textId="77777777" w:rsidR="00362EF3" w:rsidRPr="00CF4CE9" w:rsidRDefault="00362EF3" w:rsidP="00362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B4BF34B" w14:textId="77777777" w:rsidR="00362EF3" w:rsidRPr="00CF4CE9" w:rsidRDefault="00362EF3" w:rsidP="00362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BC16009" w14:textId="6A36BE75" w:rsidR="00362EF3" w:rsidRPr="007E546F" w:rsidRDefault="00362EF3" w:rsidP="00362EF3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902360">
              <w:rPr>
                <w:sz w:val="22"/>
                <w:szCs w:val="22"/>
              </w:rPr>
              <w:t>Дронова</w:t>
            </w:r>
            <w:proofErr w:type="spellEnd"/>
            <w:r w:rsidRPr="00902360">
              <w:rPr>
                <w:sz w:val="22"/>
                <w:szCs w:val="22"/>
              </w:rPr>
              <w:t xml:space="preserve"> В.М.</w:t>
            </w:r>
          </w:p>
        </w:tc>
      </w:tr>
      <w:tr w:rsidR="00362EF3" w:rsidRPr="00BC16C0" w14:paraId="6F419786" w14:textId="77777777" w:rsidTr="00902360">
        <w:tc>
          <w:tcPr>
            <w:tcW w:w="421" w:type="dxa"/>
          </w:tcPr>
          <w:p w14:paraId="2EB3D140" w14:textId="309C41D2" w:rsidR="00362EF3" w:rsidRPr="00F5695A" w:rsidRDefault="00362EF3" w:rsidP="00362EF3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6AA3C67" w14:textId="2BCF9994" w:rsidR="00362EF3" w:rsidRPr="00902360" w:rsidRDefault="00362EF3" w:rsidP="00362EF3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36F5519" w14:textId="7BDC2C1B" w:rsidR="00362EF3" w:rsidRPr="00F5695A" w:rsidRDefault="00362EF3" w:rsidP="00362EF3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120798C" w14:textId="43B4E318" w:rsidR="00362EF3" w:rsidRPr="00F5695A" w:rsidRDefault="006F37CE" w:rsidP="00362EF3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 w:rsidRPr="006F37CE">
              <w:rPr>
                <w:bCs/>
                <w:sz w:val="22"/>
                <w:szCs w:val="22"/>
              </w:rPr>
              <w:t>18.00–19.30</w:t>
            </w:r>
          </w:p>
        </w:tc>
        <w:tc>
          <w:tcPr>
            <w:tcW w:w="2835" w:type="dxa"/>
          </w:tcPr>
          <w:p w14:paraId="75E3C50D" w14:textId="7D5BC66C" w:rsidR="00362EF3" w:rsidRPr="00BC16C0" w:rsidRDefault="006F37CE" w:rsidP="00362EF3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6F37CE">
              <w:rPr>
                <w:rFonts w:eastAsia="Times New Roman"/>
                <w:iCs/>
                <w:sz w:val="22"/>
                <w:szCs w:val="22"/>
              </w:rPr>
              <w:t>Цифри, що пояснюють світ: статистика у викладанні географії</w:t>
            </w:r>
          </w:p>
        </w:tc>
        <w:tc>
          <w:tcPr>
            <w:tcW w:w="851" w:type="dxa"/>
            <w:vAlign w:val="center"/>
          </w:tcPr>
          <w:p w14:paraId="3E0B71B8" w14:textId="4F3FB624" w:rsidR="00362EF3" w:rsidRPr="00CF4CE9" w:rsidRDefault="00362EF3" w:rsidP="00362E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9B2793" w14:textId="329952D8" w:rsidR="00362EF3" w:rsidRPr="00CF4CE9" w:rsidRDefault="006F37CE" w:rsidP="00362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02B3A66E" w14:textId="431E537E" w:rsidR="00362EF3" w:rsidRPr="00CF4CE9" w:rsidRDefault="00362EF3" w:rsidP="00362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232AF99" w14:textId="77777777" w:rsidR="00362EF3" w:rsidRPr="00CF4CE9" w:rsidRDefault="00362EF3" w:rsidP="00362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58166C32" w14:textId="422CE450" w:rsidR="00362EF3" w:rsidRPr="00902360" w:rsidRDefault="006F37CE" w:rsidP="00362EF3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Саввіч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</w:tc>
      </w:tr>
      <w:tr w:rsidR="006F37CE" w:rsidRPr="00BC16C0" w14:paraId="4C245045" w14:textId="77777777" w:rsidTr="00902360">
        <w:tc>
          <w:tcPr>
            <w:tcW w:w="421" w:type="dxa"/>
          </w:tcPr>
          <w:p w14:paraId="1EBC080C" w14:textId="77777777" w:rsidR="006F37CE" w:rsidRPr="00F5695A" w:rsidRDefault="006F37CE" w:rsidP="006F37CE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F7DEF84" w14:textId="57932D88" w:rsidR="006F37CE" w:rsidRPr="00902360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2E8D65AA" w14:textId="3D5A4B82" w:rsidR="006F37CE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0181F22B" w14:textId="4C0F88AD" w:rsidR="006F37CE" w:rsidRDefault="006F37CE" w:rsidP="006F37CE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71341311" w14:textId="287809A2" w:rsidR="006F37CE" w:rsidRPr="006F37CE" w:rsidRDefault="006F37CE" w:rsidP="006F37C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6F37CE">
              <w:rPr>
                <w:rFonts w:eastAsia="Times New Roman"/>
                <w:iCs/>
                <w:sz w:val="22"/>
                <w:szCs w:val="22"/>
              </w:rPr>
              <w:t>Суспільні процеси епохи глобальних трансформацій</w:t>
            </w:r>
          </w:p>
        </w:tc>
        <w:tc>
          <w:tcPr>
            <w:tcW w:w="851" w:type="dxa"/>
            <w:vAlign w:val="center"/>
          </w:tcPr>
          <w:p w14:paraId="75CC5CE6" w14:textId="201641BA" w:rsidR="006F37CE" w:rsidRPr="00CF4CE9" w:rsidRDefault="006F37CE" w:rsidP="006F3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3C14D453" w14:textId="20868655" w:rsidR="006F37CE" w:rsidRDefault="006F37CE" w:rsidP="006F3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062235DE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9794496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6C491E82" w14:textId="30BF277E" w:rsidR="006F37CE" w:rsidRDefault="006F37CE" w:rsidP="006F37CE">
            <w:pPr>
              <w:ind w:right="-57"/>
              <w:jc w:val="left"/>
              <w:rPr>
                <w:sz w:val="22"/>
                <w:szCs w:val="22"/>
              </w:rPr>
            </w:pPr>
            <w:r w:rsidRPr="00527B8A">
              <w:rPr>
                <w:sz w:val="22"/>
                <w:szCs w:val="22"/>
              </w:rPr>
              <w:t>Грінченко О.І.</w:t>
            </w:r>
          </w:p>
        </w:tc>
      </w:tr>
      <w:tr w:rsidR="006F37CE" w:rsidRPr="00BC16C0" w14:paraId="43DFA32D" w14:textId="77777777" w:rsidTr="00902360">
        <w:tc>
          <w:tcPr>
            <w:tcW w:w="421" w:type="dxa"/>
          </w:tcPr>
          <w:p w14:paraId="63E5D9B7" w14:textId="77777777" w:rsidR="006F37CE" w:rsidRPr="00F5695A" w:rsidRDefault="006F37CE" w:rsidP="006F37CE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A59600B" w14:textId="5943E8D6" w:rsidR="006F37CE" w:rsidRPr="00902360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03DE1C26" w14:textId="41C654D2" w:rsidR="006F37CE" w:rsidRPr="00F5695A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7AEA8909" w14:textId="70B0D96C" w:rsidR="006F37CE" w:rsidRPr="00F5695A" w:rsidRDefault="006F37CE" w:rsidP="006F37CE">
            <w:pPr>
              <w:ind w:left="-57" w:right="-57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18.30–20.00</w:t>
            </w:r>
          </w:p>
        </w:tc>
        <w:tc>
          <w:tcPr>
            <w:tcW w:w="2835" w:type="dxa"/>
          </w:tcPr>
          <w:p w14:paraId="1298170F" w14:textId="4B91FBF8" w:rsidR="006F37CE" w:rsidRPr="00BC16C0" w:rsidRDefault="006F37CE" w:rsidP="006F37C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1" w:type="dxa"/>
            <w:vAlign w:val="center"/>
          </w:tcPr>
          <w:p w14:paraId="6FB9466E" w14:textId="3A7C3D20" w:rsidR="006F37CE" w:rsidRPr="00CF4CE9" w:rsidRDefault="006F37CE" w:rsidP="006F3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1CFDBB4" w14:textId="30198B0D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0E2C580B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63A54B1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16CFFB12" w14:textId="4B41BAE8" w:rsidR="006F37CE" w:rsidRPr="00902360" w:rsidRDefault="006F37CE" w:rsidP="006F37CE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Вольянська</w:t>
            </w:r>
            <w:proofErr w:type="spellEnd"/>
            <w:r>
              <w:rPr>
                <w:sz w:val="22"/>
                <w:szCs w:val="22"/>
              </w:rPr>
              <w:t xml:space="preserve"> С.Є.</w:t>
            </w:r>
          </w:p>
        </w:tc>
      </w:tr>
      <w:tr w:rsidR="006F37CE" w:rsidRPr="00BC16C0" w14:paraId="1C032CA7" w14:textId="77777777" w:rsidTr="00902360">
        <w:tc>
          <w:tcPr>
            <w:tcW w:w="421" w:type="dxa"/>
          </w:tcPr>
          <w:p w14:paraId="6A409EEF" w14:textId="77777777" w:rsidR="006F37CE" w:rsidRPr="00F5695A" w:rsidRDefault="006F37CE" w:rsidP="006F37CE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D91CD59" w14:textId="3C8C1188" w:rsidR="006F37CE" w:rsidRPr="00902360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C1E1A8E" w14:textId="1D7F983D" w:rsidR="006F37CE" w:rsidRPr="00902360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39ED8A5C" w14:textId="43002BE2" w:rsidR="006F37CE" w:rsidRDefault="006F37CE" w:rsidP="006F37CE">
            <w:pPr>
              <w:ind w:left="-57" w:right="-57"/>
              <w:rPr>
                <w:bCs/>
                <w:sz w:val="22"/>
                <w:szCs w:val="22"/>
              </w:rPr>
            </w:pPr>
            <w:r w:rsidRPr="00BA7CB9">
              <w:rPr>
                <w:bCs/>
                <w:sz w:val="22"/>
                <w:szCs w:val="22"/>
              </w:rPr>
              <w:t>13.30–15.00</w:t>
            </w:r>
          </w:p>
        </w:tc>
        <w:tc>
          <w:tcPr>
            <w:tcW w:w="2835" w:type="dxa"/>
          </w:tcPr>
          <w:p w14:paraId="68E1BDEA" w14:textId="23357773" w:rsidR="006F37CE" w:rsidRPr="00902360" w:rsidRDefault="006F37CE" w:rsidP="006F37C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6F37CE">
              <w:rPr>
                <w:rFonts w:eastAsia="Times New Roman"/>
                <w:iCs/>
                <w:sz w:val="22"/>
                <w:szCs w:val="22"/>
              </w:rPr>
              <w:t>Рефлексивна культура педагога як інструмент аналізу та вдосконалення професійної діяльності</w:t>
            </w:r>
          </w:p>
        </w:tc>
        <w:tc>
          <w:tcPr>
            <w:tcW w:w="851" w:type="dxa"/>
            <w:vAlign w:val="center"/>
          </w:tcPr>
          <w:p w14:paraId="373FB9B0" w14:textId="3BBB1BA3" w:rsidR="006F37CE" w:rsidRDefault="006F37CE" w:rsidP="006F3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2C35C32" w14:textId="141FFE61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3BB4BA0A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F51DD3D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2A12B34" w14:textId="2A6E91A0" w:rsidR="006F37CE" w:rsidRDefault="006F37CE" w:rsidP="006F37CE">
            <w:pPr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М.Є.</w:t>
            </w:r>
          </w:p>
        </w:tc>
      </w:tr>
      <w:tr w:rsidR="006F37CE" w:rsidRPr="00BC16C0" w14:paraId="2FCB454A" w14:textId="77777777" w:rsidTr="00902360">
        <w:tc>
          <w:tcPr>
            <w:tcW w:w="421" w:type="dxa"/>
          </w:tcPr>
          <w:p w14:paraId="1E2855AF" w14:textId="77777777" w:rsidR="006F37CE" w:rsidRPr="00F5695A" w:rsidRDefault="006F37CE" w:rsidP="006F37CE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BB5B8E9" w14:textId="7BD3E9F6" w:rsidR="006F37CE" w:rsidRPr="00902360" w:rsidRDefault="00812E01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</w:t>
            </w:r>
            <w:r w:rsidR="006F37CE"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="006F37CE"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0C6BDD57" w14:textId="0583CFBD" w:rsidR="006F37CE" w:rsidRDefault="006F37CE" w:rsidP="006F37CE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1170004" w14:textId="17E956FC" w:rsidR="006F37CE" w:rsidRDefault="00812E01" w:rsidP="006F37CE">
            <w:pPr>
              <w:ind w:left="-57" w:right="-57"/>
              <w:rPr>
                <w:bCs/>
                <w:sz w:val="22"/>
                <w:szCs w:val="22"/>
              </w:rPr>
            </w:pPr>
            <w:r w:rsidRPr="00812E01">
              <w:rPr>
                <w:rFonts w:eastAsia="Times New Roman"/>
                <w:i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0A684FC8" w14:textId="5680DDB0" w:rsidR="006F37CE" w:rsidRPr="00797092" w:rsidRDefault="00812E01" w:rsidP="006F37CE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812E01">
              <w:rPr>
                <w:rFonts w:eastAsia="Times New Roman"/>
                <w:iCs/>
                <w:sz w:val="22"/>
                <w:szCs w:val="22"/>
              </w:rPr>
              <w:t xml:space="preserve">Емоційний інтелект та </w:t>
            </w:r>
            <w:proofErr w:type="spellStart"/>
            <w:r w:rsidRPr="00812E01">
              <w:rPr>
                <w:rFonts w:eastAsia="Times New Roman"/>
                <w:iCs/>
                <w:sz w:val="22"/>
                <w:szCs w:val="22"/>
              </w:rPr>
              <w:t>стресостійкість</w:t>
            </w:r>
            <w:proofErr w:type="spellEnd"/>
            <w:r w:rsidRPr="00812E01">
              <w:rPr>
                <w:rFonts w:eastAsia="Times New Roman"/>
                <w:iCs/>
                <w:sz w:val="22"/>
                <w:szCs w:val="22"/>
              </w:rPr>
              <w:t xml:space="preserve"> як складові професійної майстерності вчителя</w:t>
            </w:r>
          </w:p>
        </w:tc>
        <w:tc>
          <w:tcPr>
            <w:tcW w:w="851" w:type="dxa"/>
            <w:vAlign w:val="center"/>
          </w:tcPr>
          <w:p w14:paraId="5EC95338" w14:textId="4C60DE9B" w:rsidR="006F37CE" w:rsidRDefault="006F37CE" w:rsidP="006F3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C8A6195" w14:textId="3B48B487" w:rsidR="006F37CE" w:rsidRDefault="006F37CE" w:rsidP="006F37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vAlign w:val="center"/>
          </w:tcPr>
          <w:p w14:paraId="13CE93F5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70ED72C" w14:textId="77777777" w:rsidR="006F37CE" w:rsidRPr="00CF4CE9" w:rsidRDefault="006F37CE" w:rsidP="006F3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0F61A388" w14:textId="045BC676" w:rsidR="006F37CE" w:rsidRPr="00797092" w:rsidRDefault="00812E01" w:rsidP="006F37CE">
            <w:pPr>
              <w:ind w:right="-57"/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</w:t>
            </w:r>
          </w:p>
        </w:tc>
      </w:tr>
      <w:tr w:rsidR="00812E01" w:rsidRPr="00BC16C0" w14:paraId="180602AA" w14:textId="77777777" w:rsidTr="00902360">
        <w:tc>
          <w:tcPr>
            <w:tcW w:w="421" w:type="dxa"/>
          </w:tcPr>
          <w:p w14:paraId="1E4D88C1" w14:textId="77777777" w:rsidR="00812E01" w:rsidRPr="00F5695A" w:rsidRDefault="00812E01" w:rsidP="00812E01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01F7F1A" w14:textId="6D337542" w:rsidR="00812E01" w:rsidRPr="00902360" w:rsidRDefault="00812E01" w:rsidP="00812E01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28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1F840BF0" w14:textId="035BEBF4" w:rsidR="00812E01" w:rsidRDefault="00812E01" w:rsidP="00812E01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27CAB607" w14:textId="635716A1" w:rsidR="00812E01" w:rsidRDefault="00812E01" w:rsidP="00812E01">
            <w:pPr>
              <w:ind w:left="-57" w:right="-57"/>
              <w:rPr>
                <w:bCs/>
                <w:sz w:val="22"/>
                <w:szCs w:val="22"/>
              </w:rPr>
            </w:pPr>
            <w:r w:rsidRPr="00812E01">
              <w:rPr>
                <w:bCs/>
                <w:sz w:val="22"/>
                <w:szCs w:val="22"/>
              </w:rPr>
              <w:t>18.00–19.30</w:t>
            </w:r>
          </w:p>
        </w:tc>
        <w:tc>
          <w:tcPr>
            <w:tcW w:w="2835" w:type="dxa"/>
          </w:tcPr>
          <w:p w14:paraId="26B5FB18" w14:textId="2584256E" w:rsidR="00812E01" w:rsidRPr="00527B8A" w:rsidRDefault="00812E01" w:rsidP="00812E01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812E01">
              <w:rPr>
                <w:rFonts w:eastAsia="Times New Roman"/>
                <w:iCs/>
                <w:sz w:val="22"/>
                <w:szCs w:val="22"/>
              </w:rPr>
              <w:t xml:space="preserve">Як створити </w:t>
            </w:r>
            <w:proofErr w:type="spellStart"/>
            <w:r w:rsidRPr="00812E01">
              <w:rPr>
                <w:rFonts w:eastAsia="Times New Roman"/>
                <w:iCs/>
                <w:sz w:val="22"/>
                <w:szCs w:val="22"/>
              </w:rPr>
              <w:t>компетентнісні</w:t>
            </w:r>
            <w:proofErr w:type="spellEnd"/>
            <w:r w:rsidRPr="00812E01">
              <w:rPr>
                <w:rFonts w:eastAsia="Times New Roman"/>
                <w:iCs/>
                <w:sz w:val="22"/>
                <w:szCs w:val="22"/>
              </w:rPr>
              <w:t xml:space="preserve"> завдання для оцінювання навчальних досягнень учнів з географії</w:t>
            </w:r>
          </w:p>
        </w:tc>
        <w:tc>
          <w:tcPr>
            <w:tcW w:w="851" w:type="dxa"/>
            <w:vAlign w:val="center"/>
          </w:tcPr>
          <w:p w14:paraId="2E6E8550" w14:textId="1C18B5F5" w:rsidR="00812E01" w:rsidRDefault="00812E01" w:rsidP="00812E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FD0D60" w14:textId="69AC8FE2" w:rsidR="00812E01" w:rsidRDefault="00812E01" w:rsidP="0081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66F7085E" w14:textId="224C994D" w:rsidR="00812E01" w:rsidRPr="00CF4CE9" w:rsidRDefault="00812E01" w:rsidP="0081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vAlign w:val="center"/>
          </w:tcPr>
          <w:p w14:paraId="2E08FEF4" w14:textId="77777777" w:rsidR="00812E01" w:rsidRPr="00CF4CE9" w:rsidRDefault="00812E01" w:rsidP="0081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A299356" w14:textId="6FA1E5C7" w:rsidR="00812E01" w:rsidRDefault="00812E01" w:rsidP="00812E01">
            <w:pPr>
              <w:ind w:right="-57"/>
              <w:jc w:val="left"/>
              <w:rPr>
                <w:sz w:val="22"/>
                <w:szCs w:val="22"/>
              </w:rPr>
            </w:pPr>
            <w:proofErr w:type="spellStart"/>
            <w:r w:rsidRPr="00527B8A">
              <w:rPr>
                <w:sz w:val="22"/>
                <w:szCs w:val="22"/>
              </w:rPr>
              <w:t>Саввіч</w:t>
            </w:r>
            <w:proofErr w:type="spellEnd"/>
            <w:r w:rsidRPr="00527B8A">
              <w:rPr>
                <w:sz w:val="22"/>
                <w:szCs w:val="22"/>
              </w:rPr>
              <w:t xml:space="preserve"> О.М.</w:t>
            </w:r>
          </w:p>
        </w:tc>
      </w:tr>
      <w:tr w:rsidR="00812E01" w:rsidRPr="00BC16C0" w14:paraId="2CD7D2F8" w14:textId="77777777" w:rsidTr="00902360">
        <w:tc>
          <w:tcPr>
            <w:tcW w:w="421" w:type="dxa"/>
          </w:tcPr>
          <w:p w14:paraId="2F7F6415" w14:textId="77777777" w:rsidR="00812E01" w:rsidRPr="00F5695A" w:rsidRDefault="00812E01" w:rsidP="00812E01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6F7BA18" w14:textId="580D4B80" w:rsidR="00812E01" w:rsidRPr="00902360" w:rsidRDefault="00812E01" w:rsidP="00812E01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29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5</w:t>
            </w: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</w:p>
          <w:p w14:paraId="452F4322" w14:textId="58AAEAEE" w:rsidR="00812E01" w:rsidRPr="00902360" w:rsidRDefault="00812E01" w:rsidP="00812E01">
            <w:pPr>
              <w:ind w:left="-57" w:right="-57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902360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2026      </w:t>
            </w:r>
          </w:p>
        </w:tc>
        <w:tc>
          <w:tcPr>
            <w:tcW w:w="709" w:type="dxa"/>
          </w:tcPr>
          <w:p w14:paraId="412F5075" w14:textId="30039FDA" w:rsidR="00812E01" w:rsidRDefault="00812E01" w:rsidP="00812E0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15.15–16.45</w:t>
            </w:r>
          </w:p>
        </w:tc>
        <w:tc>
          <w:tcPr>
            <w:tcW w:w="2835" w:type="dxa"/>
          </w:tcPr>
          <w:p w14:paraId="4F2E81ED" w14:textId="16183D8C" w:rsidR="00812E01" w:rsidRPr="00902360" w:rsidRDefault="00812E01" w:rsidP="00812E01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Конференція з обміну досвідом</w:t>
            </w:r>
          </w:p>
        </w:tc>
        <w:tc>
          <w:tcPr>
            <w:tcW w:w="851" w:type="dxa"/>
            <w:vAlign w:val="center"/>
          </w:tcPr>
          <w:p w14:paraId="463B50BE" w14:textId="7759FD0C" w:rsidR="00812E01" w:rsidRDefault="00812E01" w:rsidP="00812E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955539" w14:textId="3AFDE50C" w:rsidR="00812E01" w:rsidRDefault="00812E01" w:rsidP="0081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vAlign w:val="center"/>
          </w:tcPr>
          <w:p w14:paraId="37F3617F" w14:textId="77777777" w:rsidR="00812E01" w:rsidRPr="00CF4CE9" w:rsidRDefault="00812E01" w:rsidP="0081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0EF00D4C" w14:textId="77777777" w:rsidR="00812E01" w:rsidRPr="00CF4CE9" w:rsidRDefault="00812E01" w:rsidP="0081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</w:tcPr>
          <w:p w14:paraId="2A3ACD04" w14:textId="3948D840" w:rsidR="00812E01" w:rsidRDefault="00812E01" w:rsidP="00812E01">
            <w:pPr>
              <w:ind w:right="-57"/>
              <w:jc w:val="left"/>
              <w:rPr>
                <w:sz w:val="22"/>
                <w:szCs w:val="22"/>
              </w:rPr>
            </w:pPr>
            <w:r w:rsidRPr="007E546F">
              <w:rPr>
                <w:sz w:val="22"/>
                <w:szCs w:val="22"/>
              </w:rPr>
              <w:t>Грінченко О.І.</w:t>
            </w:r>
          </w:p>
        </w:tc>
      </w:tr>
      <w:tr w:rsidR="00812E01" w:rsidRPr="00BC16C0" w14:paraId="05764C19" w14:textId="77777777" w:rsidTr="00CF4CE9">
        <w:tc>
          <w:tcPr>
            <w:tcW w:w="4673" w:type="dxa"/>
            <w:gridSpan w:val="4"/>
            <w:vAlign w:val="center"/>
          </w:tcPr>
          <w:p w14:paraId="1D7CF907" w14:textId="7FEEAB73" w:rsidR="00812E01" w:rsidRPr="00BC16C0" w:rsidRDefault="00812E01" w:rsidP="00812E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51" w:type="dxa"/>
            <w:vAlign w:val="center"/>
          </w:tcPr>
          <w:p w14:paraId="37C20F04" w14:textId="354DACE5" w:rsidR="00812E01" w:rsidRPr="00BC16C0" w:rsidRDefault="00812E01" w:rsidP="00812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92344F" w14:textId="77777777" w:rsidR="00812E01" w:rsidRPr="00BC16C0" w:rsidRDefault="00812E01" w:rsidP="00812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14:paraId="46EFDC28" w14:textId="77777777" w:rsidR="00812E01" w:rsidRPr="00BC16C0" w:rsidRDefault="00812E01" w:rsidP="00812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E6A4F8B" w14:textId="711B7F4F" w:rsidR="00812E01" w:rsidRPr="00EA70EB" w:rsidRDefault="00812E01" w:rsidP="00812E01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2F7A64B5" w14:textId="77777777" w:rsidR="00812E01" w:rsidRPr="00BC16C0" w:rsidRDefault="00812E01" w:rsidP="00812E01">
            <w:pPr>
              <w:jc w:val="left"/>
              <w:rPr>
                <w:sz w:val="22"/>
                <w:szCs w:val="22"/>
              </w:rPr>
            </w:pPr>
          </w:p>
        </w:tc>
      </w:tr>
      <w:tr w:rsidR="00812E01" w:rsidRPr="00BC16C0" w14:paraId="76108063" w14:textId="77777777" w:rsidTr="007E546F">
        <w:tc>
          <w:tcPr>
            <w:tcW w:w="4673" w:type="dxa"/>
            <w:gridSpan w:val="4"/>
            <w:vAlign w:val="center"/>
          </w:tcPr>
          <w:p w14:paraId="4859FAEE" w14:textId="2E46D85F" w:rsidR="00812E01" w:rsidRDefault="00812E01" w:rsidP="00812E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  <w:vAlign w:val="center"/>
          </w:tcPr>
          <w:p w14:paraId="3EFC58A0" w14:textId="03C9849E" w:rsidR="00812E01" w:rsidRPr="007E546F" w:rsidRDefault="00812E01" w:rsidP="00812E01">
            <w:pPr>
              <w:jc w:val="center"/>
              <w:rPr>
                <w:b/>
                <w:bCs/>
                <w:sz w:val="22"/>
                <w:szCs w:val="22"/>
              </w:rPr>
            </w:pPr>
            <w:r w:rsidRPr="007E54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1E0B5A2" w14:textId="1B06D364" w:rsidR="00812E01" w:rsidRPr="007E546F" w:rsidRDefault="00812E01" w:rsidP="00812E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81" w:type="dxa"/>
            <w:vAlign w:val="center"/>
          </w:tcPr>
          <w:p w14:paraId="54A4FAF1" w14:textId="6EE78668" w:rsidR="00812E01" w:rsidRPr="00C26877" w:rsidRDefault="00812E01" w:rsidP="00812E01">
            <w:pPr>
              <w:jc w:val="center"/>
              <w:rPr>
                <w:b/>
                <w:sz w:val="22"/>
                <w:szCs w:val="22"/>
              </w:rPr>
            </w:pPr>
            <w:r w:rsidRPr="00C268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6BCC5209" w:rsidR="00812E01" w:rsidRPr="00EA70EB" w:rsidRDefault="00812E01" w:rsidP="00812E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2" w:type="dxa"/>
          </w:tcPr>
          <w:p w14:paraId="08A9D301" w14:textId="77777777" w:rsidR="00812E01" w:rsidRPr="00BC16C0" w:rsidRDefault="00812E01" w:rsidP="00812E01">
            <w:pPr>
              <w:jc w:val="left"/>
              <w:rPr>
                <w:sz w:val="22"/>
                <w:szCs w:val="22"/>
              </w:rPr>
            </w:pPr>
          </w:p>
        </w:tc>
      </w:tr>
      <w:tr w:rsidR="00812E01" w:rsidRPr="00BC16C0" w14:paraId="7584ACD4" w14:textId="77777777" w:rsidTr="00CF4CE9">
        <w:tc>
          <w:tcPr>
            <w:tcW w:w="4673" w:type="dxa"/>
            <w:gridSpan w:val="4"/>
            <w:vAlign w:val="center"/>
          </w:tcPr>
          <w:p w14:paraId="55B6AB64" w14:textId="3DE860EE" w:rsidR="00812E01" w:rsidRDefault="00812E01" w:rsidP="00812E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550" w:type="dxa"/>
            <w:gridSpan w:val="4"/>
            <w:vAlign w:val="center"/>
          </w:tcPr>
          <w:p w14:paraId="5396A4AE" w14:textId="04F43D32" w:rsidR="00812E01" w:rsidRPr="00EA70EB" w:rsidRDefault="00812E01" w:rsidP="00812E01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62" w:type="dxa"/>
          </w:tcPr>
          <w:p w14:paraId="55388CF6" w14:textId="77777777" w:rsidR="00812E01" w:rsidRPr="00BC16C0" w:rsidRDefault="00812E01" w:rsidP="00812E01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4F67E2EF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</w:r>
      <w:r w:rsidR="000665E5">
        <w:rPr>
          <w:b/>
          <w:sz w:val="22"/>
          <w:szCs w:val="22"/>
        </w:rPr>
        <w:tab/>
        <w:t>Олександр ГРІНЧЕНКО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46FAF27E" w14:textId="0C0FBA6F" w:rsidR="002851CD" w:rsidRPr="009B3499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Блізнякова</w:t>
      </w:r>
      <w:proofErr w:type="spellEnd"/>
      <w:r w:rsidRPr="009B3499">
        <w:rPr>
          <w:sz w:val="24"/>
          <w:szCs w:val="24"/>
        </w:rPr>
        <w:t xml:space="preserve"> Олена Анатоліївна, викладач </w:t>
      </w:r>
      <w:bookmarkStart w:id="2" w:name="_Hlk207188317"/>
      <w:bookmarkStart w:id="3" w:name="_Hlk218250336"/>
      <w:r>
        <w:rPr>
          <w:sz w:val="24"/>
          <w:szCs w:val="24"/>
        </w:rPr>
        <w:t xml:space="preserve">кафедри сучасних </w:t>
      </w:r>
      <w:proofErr w:type="spellStart"/>
      <w:r>
        <w:rPr>
          <w:sz w:val="24"/>
          <w:szCs w:val="24"/>
        </w:rPr>
        <w:t>методик</w:t>
      </w:r>
      <w:proofErr w:type="spellEnd"/>
      <w:r>
        <w:rPr>
          <w:sz w:val="24"/>
          <w:szCs w:val="24"/>
        </w:rPr>
        <w:t xml:space="preserve"> навчання (с</w:t>
      </w:r>
      <w:r w:rsidRPr="00B67DCF">
        <w:rPr>
          <w:sz w:val="24"/>
          <w:szCs w:val="24"/>
        </w:rPr>
        <w:t>екці</w:t>
      </w:r>
      <w:r w:rsidR="000665E5">
        <w:rPr>
          <w:sz w:val="24"/>
          <w:szCs w:val="24"/>
        </w:rPr>
        <w:t>я</w:t>
      </w:r>
      <w:r w:rsidRPr="00B67DCF">
        <w:rPr>
          <w:sz w:val="24"/>
          <w:szCs w:val="24"/>
        </w:rPr>
        <w:t xml:space="preserve"> природничо-математичних дисциплін</w:t>
      </w:r>
      <w:bookmarkEnd w:id="2"/>
      <w:r w:rsidR="000665E5">
        <w:rPr>
          <w:sz w:val="24"/>
          <w:szCs w:val="24"/>
        </w:rPr>
        <w:t>)</w:t>
      </w:r>
      <w:bookmarkEnd w:id="3"/>
      <w:r w:rsidRPr="009B3499">
        <w:rPr>
          <w:sz w:val="24"/>
          <w:szCs w:val="24"/>
        </w:rPr>
        <w:t xml:space="preserve">, учитель початкових класів та географії </w:t>
      </w:r>
      <w:proofErr w:type="spellStart"/>
      <w:r w:rsidRPr="009B3499">
        <w:rPr>
          <w:sz w:val="24"/>
          <w:szCs w:val="24"/>
        </w:rPr>
        <w:t>Люботинської</w:t>
      </w:r>
      <w:proofErr w:type="spellEnd"/>
      <w:r w:rsidRPr="009B3499">
        <w:rPr>
          <w:sz w:val="24"/>
          <w:szCs w:val="24"/>
        </w:rPr>
        <w:t xml:space="preserve"> гімназії №5, учитель вищої категорії, учитель-методист, тренер-педагог НУШ</w:t>
      </w:r>
    </w:p>
    <w:p w14:paraId="4B2EBBD1" w14:textId="77777777" w:rsidR="002851CD" w:rsidRPr="009B3499" w:rsidRDefault="002851CD" w:rsidP="002851CD">
      <w:pPr>
        <w:rPr>
          <w:sz w:val="24"/>
          <w:szCs w:val="24"/>
        </w:rPr>
      </w:pPr>
    </w:p>
    <w:p w14:paraId="5AE81046" w14:textId="1D2FDFED" w:rsidR="002851CD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Вольянська</w:t>
      </w:r>
      <w:proofErr w:type="spellEnd"/>
      <w:r w:rsidRPr="009B3499">
        <w:rPr>
          <w:sz w:val="24"/>
          <w:szCs w:val="24"/>
        </w:rPr>
        <w:t xml:space="preserve"> Світлана Євгенівна, професор </w:t>
      </w:r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кандидат педагогічних наук, магістр управління, начальник Східного міжрегіонального управління Державної служби якості освіти</w:t>
      </w:r>
    </w:p>
    <w:p w14:paraId="13C534FC" w14:textId="77777777" w:rsidR="002851CD" w:rsidRPr="009B3499" w:rsidRDefault="002851CD" w:rsidP="002851CD">
      <w:pPr>
        <w:rPr>
          <w:sz w:val="24"/>
          <w:szCs w:val="24"/>
        </w:rPr>
      </w:pPr>
    </w:p>
    <w:p w14:paraId="0F8E5C13" w14:textId="070A1580" w:rsidR="002851CD" w:rsidRDefault="002851CD" w:rsidP="002851CD">
      <w:pPr>
        <w:rPr>
          <w:sz w:val="24"/>
          <w:szCs w:val="24"/>
        </w:rPr>
      </w:pPr>
      <w:r w:rsidRPr="009B3499">
        <w:rPr>
          <w:sz w:val="24"/>
          <w:szCs w:val="24"/>
        </w:rPr>
        <w:t xml:space="preserve">Грінченко Олександр Іванович, старший </w:t>
      </w:r>
      <w:bookmarkStart w:id="4" w:name="_Hlk188866062"/>
      <w:r w:rsidRPr="009B3499">
        <w:rPr>
          <w:sz w:val="24"/>
          <w:szCs w:val="24"/>
        </w:rPr>
        <w:t xml:space="preserve">викладач </w:t>
      </w:r>
      <w:bookmarkEnd w:id="4"/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магістр педагогіки вищої школи, тренер НУШ, супервізор</w:t>
      </w:r>
    </w:p>
    <w:p w14:paraId="31296C46" w14:textId="77777777" w:rsidR="00703975" w:rsidRDefault="00703975" w:rsidP="002851CD">
      <w:pPr>
        <w:rPr>
          <w:sz w:val="24"/>
          <w:szCs w:val="24"/>
        </w:rPr>
      </w:pPr>
    </w:p>
    <w:p w14:paraId="2B95518D" w14:textId="64967192" w:rsidR="00703975" w:rsidRDefault="00703975" w:rsidP="002851C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Дронова</w:t>
      </w:r>
      <w:proofErr w:type="spellEnd"/>
      <w:r>
        <w:rPr>
          <w:sz w:val="24"/>
          <w:szCs w:val="24"/>
        </w:rPr>
        <w:t xml:space="preserve"> Валентина Миколаївна, </w:t>
      </w:r>
      <w:r w:rsidRPr="00703975">
        <w:rPr>
          <w:sz w:val="24"/>
          <w:szCs w:val="24"/>
        </w:rPr>
        <w:t xml:space="preserve">старший викладач кафедри сучасних </w:t>
      </w:r>
      <w:proofErr w:type="spellStart"/>
      <w:r w:rsidRPr="00703975">
        <w:rPr>
          <w:sz w:val="24"/>
          <w:szCs w:val="24"/>
        </w:rPr>
        <w:t>методик</w:t>
      </w:r>
      <w:proofErr w:type="spellEnd"/>
      <w:r w:rsidRPr="00703975">
        <w:rPr>
          <w:sz w:val="24"/>
          <w:szCs w:val="24"/>
        </w:rPr>
        <w:t xml:space="preserve"> навчання (секція природничо-математичних дисциплін), магістр педагогіки вищої школи, тренер НУШ, супервізор.</w:t>
      </w:r>
    </w:p>
    <w:p w14:paraId="56A1C9EA" w14:textId="77777777" w:rsidR="001755E6" w:rsidRDefault="001755E6" w:rsidP="002851CD">
      <w:pPr>
        <w:rPr>
          <w:sz w:val="24"/>
          <w:szCs w:val="24"/>
        </w:rPr>
      </w:pPr>
    </w:p>
    <w:p w14:paraId="05C30041" w14:textId="6F3CE1C1" w:rsidR="001755E6" w:rsidRDefault="001755E6" w:rsidP="002851CD">
      <w:pPr>
        <w:rPr>
          <w:sz w:val="24"/>
          <w:szCs w:val="24"/>
        </w:rPr>
      </w:pPr>
      <w:r w:rsidRPr="001755E6">
        <w:rPr>
          <w:sz w:val="24"/>
          <w:szCs w:val="24"/>
        </w:rPr>
        <w:t xml:space="preserve">Носенко Володимир Вікторович, викладач кафедри освітнього менеджменту та виховання (секція культури здоров’я, психологічної та інклюзивної освіти), практичний психолог КЗ </w:t>
      </w:r>
      <w:r>
        <w:rPr>
          <w:sz w:val="24"/>
          <w:szCs w:val="24"/>
        </w:rPr>
        <w:t>«</w:t>
      </w:r>
      <w:proofErr w:type="spellStart"/>
      <w:r w:rsidRPr="001755E6">
        <w:rPr>
          <w:sz w:val="24"/>
          <w:szCs w:val="24"/>
        </w:rPr>
        <w:t>Бабаївський</w:t>
      </w:r>
      <w:proofErr w:type="spellEnd"/>
      <w:r w:rsidRPr="001755E6">
        <w:rPr>
          <w:sz w:val="24"/>
          <w:szCs w:val="24"/>
        </w:rPr>
        <w:t xml:space="preserve"> ліцей Височанської селищної ради Харківського району Харківської області</w:t>
      </w:r>
      <w:r>
        <w:rPr>
          <w:sz w:val="24"/>
          <w:szCs w:val="24"/>
        </w:rPr>
        <w:t>»</w:t>
      </w:r>
      <w:r w:rsidRPr="001755E6">
        <w:rPr>
          <w:sz w:val="24"/>
          <w:szCs w:val="24"/>
        </w:rPr>
        <w:t xml:space="preserve">, магістр педагогіки вищої школи, тренер </w:t>
      </w:r>
      <w:proofErr w:type="spellStart"/>
      <w:r w:rsidRPr="001755E6">
        <w:rPr>
          <w:sz w:val="24"/>
          <w:szCs w:val="24"/>
        </w:rPr>
        <w:t>проєкту</w:t>
      </w:r>
      <w:proofErr w:type="spellEnd"/>
      <w:r w:rsidRPr="001755E6">
        <w:rPr>
          <w:sz w:val="24"/>
          <w:szCs w:val="24"/>
        </w:rPr>
        <w:t xml:space="preserve"> протидії торгівлі людьми, тренер ГО Ла </w:t>
      </w:r>
      <w:proofErr w:type="spellStart"/>
      <w:r w:rsidRPr="001755E6">
        <w:rPr>
          <w:sz w:val="24"/>
          <w:szCs w:val="24"/>
        </w:rPr>
        <w:t>Страда</w:t>
      </w:r>
      <w:proofErr w:type="spellEnd"/>
      <w:r w:rsidRPr="001755E6">
        <w:rPr>
          <w:sz w:val="24"/>
          <w:szCs w:val="24"/>
        </w:rPr>
        <w:t>-Україна, тренер НУШ</w:t>
      </w:r>
    </w:p>
    <w:p w14:paraId="5DDB59DA" w14:textId="77777777" w:rsidR="002851CD" w:rsidRDefault="002851CD" w:rsidP="002851CD">
      <w:pPr>
        <w:rPr>
          <w:sz w:val="24"/>
          <w:szCs w:val="24"/>
        </w:rPr>
      </w:pPr>
    </w:p>
    <w:p w14:paraId="35213D0E" w14:textId="2B0F8384" w:rsidR="002851CD" w:rsidRDefault="002851CD" w:rsidP="002851CD">
      <w:pPr>
        <w:rPr>
          <w:sz w:val="24"/>
          <w:szCs w:val="24"/>
        </w:rPr>
      </w:pPr>
      <w:proofErr w:type="spellStart"/>
      <w:r w:rsidRPr="009B3499">
        <w:rPr>
          <w:sz w:val="24"/>
          <w:szCs w:val="24"/>
        </w:rPr>
        <w:t>Саввіч</w:t>
      </w:r>
      <w:proofErr w:type="spellEnd"/>
      <w:r w:rsidRPr="009B3499">
        <w:rPr>
          <w:sz w:val="24"/>
          <w:szCs w:val="24"/>
        </w:rPr>
        <w:t xml:space="preserve"> Олександр Миколайович, викладач </w:t>
      </w:r>
      <w:r w:rsidR="000665E5" w:rsidRPr="000665E5">
        <w:rPr>
          <w:sz w:val="24"/>
          <w:szCs w:val="24"/>
        </w:rPr>
        <w:t xml:space="preserve">кафедри сучасних </w:t>
      </w:r>
      <w:proofErr w:type="spellStart"/>
      <w:r w:rsidR="000665E5" w:rsidRPr="000665E5">
        <w:rPr>
          <w:sz w:val="24"/>
          <w:szCs w:val="24"/>
        </w:rPr>
        <w:t>методик</w:t>
      </w:r>
      <w:proofErr w:type="spellEnd"/>
      <w:r w:rsidR="000665E5" w:rsidRPr="000665E5">
        <w:rPr>
          <w:sz w:val="24"/>
          <w:szCs w:val="24"/>
        </w:rPr>
        <w:t xml:space="preserve"> навчання (секція природничо-математичних дисциплін)</w:t>
      </w:r>
      <w:r w:rsidRPr="009B3499">
        <w:rPr>
          <w:sz w:val="24"/>
          <w:szCs w:val="24"/>
        </w:rPr>
        <w:t>, методист Центру методичної та аналітичної роботи, магістр, методист вищої категорії, тренер НУШ, супервізор</w:t>
      </w:r>
    </w:p>
    <w:p w14:paraId="6A3EAE24" w14:textId="77777777" w:rsidR="0014549D" w:rsidRDefault="0014549D" w:rsidP="002851CD">
      <w:pPr>
        <w:rPr>
          <w:sz w:val="24"/>
          <w:szCs w:val="24"/>
        </w:rPr>
      </w:pPr>
    </w:p>
    <w:p w14:paraId="2D79E176" w14:textId="2152A807" w:rsidR="0014549D" w:rsidRPr="009B3499" w:rsidRDefault="0014549D" w:rsidP="002851CD">
      <w:pPr>
        <w:rPr>
          <w:sz w:val="24"/>
          <w:szCs w:val="24"/>
        </w:rPr>
      </w:pPr>
      <w:r w:rsidRPr="0014549D">
        <w:rPr>
          <w:sz w:val="24"/>
          <w:szCs w:val="24"/>
        </w:rPr>
        <w:t>Смирнова Марина Євгенівна, професор кафедри освітнього менеджменту та виховання, к</w:t>
      </w:r>
      <w:r>
        <w:rPr>
          <w:sz w:val="24"/>
          <w:szCs w:val="24"/>
        </w:rPr>
        <w:t xml:space="preserve">андидат </w:t>
      </w:r>
      <w:r w:rsidRPr="0014549D">
        <w:rPr>
          <w:sz w:val="24"/>
          <w:szCs w:val="24"/>
        </w:rPr>
        <w:t>пед</w:t>
      </w:r>
      <w:r>
        <w:rPr>
          <w:sz w:val="24"/>
          <w:szCs w:val="24"/>
        </w:rPr>
        <w:t xml:space="preserve">агогічних </w:t>
      </w:r>
      <w:r w:rsidRPr="0014549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14549D">
        <w:rPr>
          <w:sz w:val="24"/>
          <w:szCs w:val="24"/>
        </w:rPr>
        <w:t>, тренер НУШ</w:t>
      </w: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17D"/>
    <w:multiLevelType w:val="hybridMultilevel"/>
    <w:tmpl w:val="6A3CF8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1677F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65E5"/>
    <w:rsid w:val="00067ACD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3DB5"/>
    <w:rsid w:val="00104B9C"/>
    <w:rsid w:val="00110145"/>
    <w:rsid w:val="00117055"/>
    <w:rsid w:val="00120722"/>
    <w:rsid w:val="00121191"/>
    <w:rsid w:val="001217BA"/>
    <w:rsid w:val="001248A5"/>
    <w:rsid w:val="00126B42"/>
    <w:rsid w:val="0013547A"/>
    <w:rsid w:val="00135A8F"/>
    <w:rsid w:val="00140AA4"/>
    <w:rsid w:val="00141D29"/>
    <w:rsid w:val="00144329"/>
    <w:rsid w:val="00144A8B"/>
    <w:rsid w:val="0014549D"/>
    <w:rsid w:val="00146F8D"/>
    <w:rsid w:val="0015271E"/>
    <w:rsid w:val="00153B36"/>
    <w:rsid w:val="00156315"/>
    <w:rsid w:val="0016215F"/>
    <w:rsid w:val="00163DE1"/>
    <w:rsid w:val="00170FF5"/>
    <w:rsid w:val="00171159"/>
    <w:rsid w:val="00175257"/>
    <w:rsid w:val="001755E6"/>
    <w:rsid w:val="00181438"/>
    <w:rsid w:val="001815F5"/>
    <w:rsid w:val="0019028C"/>
    <w:rsid w:val="0019347E"/>
    <w:rsid w:val="00194D4B"/>
    <w:rsid w:val="001A0D10"/>
    <w:rsid w:val="001A17B0"/>
    <w:rsid w:val="001C6179"/>
    <w:rsid w:val="001C6D93"/>
    <w:rsid w:val="001D3917"/>
    <w:rsid w:val="001D5392"/>
    <w:rsid w:val="001D7707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851C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2EF3"/>
    <w:rsid w:val="003716B8"/>
    <w:rsid w:val="0037194D"/>
    <w:rsid w:val="003721D6"/>
    <w:rsid w:val="00372FF8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16BB1"/>
    <w:rsid w:val="00420746"/>
    <w:rsid w:val="0042217C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27B8A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42E"/>
    <w:rsid w:val="00681C27"/>
    <w:rsid w:val="00684200"/>
    <w:rsid w:val="00694B62"/>
    <w:rsid w:val="00697775"/>
    <w:rsid w:val="006A3E98"/>
    <w:rsid w:val="006A7136"/>
    <w:rsid w:val="006B20D8"/>
    <w:rsid w:val="006B526F"/>
    <w:rsid w:val="006D01E6"/>
    <w:rsid w:val="006D3C9D"/>
    <w:rsid w:val="006E083C"/>
    <w:rsid w:val="006E1D22"/>
    <w:rsid w:val="006E446E"/>
    <w:rsid w:val="006F37CE"/>
    <w:rsid w:val="006F489F"/>
    <w:rsid w:val="006F48CF"/>
    <w:rsid w:val="006F4E56"/>
    <w:rsid w:val="006F597E"/>
    <w:rsid w:val="006F7E9E"/>
    <w:rsid w:val="00703975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97092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46F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2E01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17B9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2360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27F7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28BC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6678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32722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A7CB9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3CDB"/>
    <w:rsid w:val="00BF4EAE"/>
    <w:rsid w:val="00C03D4F"/>
    <w:rsid w:val="00C107A0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84CE5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4CE9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6498A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3CEA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95A"/>
    <w:rsid w:val="00F67552"/>
    <w:rsid w:val="00F67C39"/>
    <w:rsid w:val="00F73432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B0B6-23A9-4928-95B2-EAE99529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22</cp:revision>
  <cp:lastPrinted>2025-12-30T12:02:00Z</cp:lastPrinted>
  <dcterms:created xsi:type="dcterms:W3CDTF">2025-12-30T11:53:00Z</dcterms:created>
  <dcterms:modified xsi:type="dcterms:W3CDTF">2026-05-08T05:07:00Z</dcterms:modified>
</cp:coreProperties>
</file>