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FC2E4D" w:rsidRPr="00BC16C0" w:rsidRDefault="00FC2E4D" w:rsidP="00FC2E4D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FC2E4D" w:rsidRPr="00BC16C0" w:rsidRDefault="00FC2E4D" w:rsidP="00FC2E4D">
      <w:pPr>
        <w:ind w:left="6372"/>
        <w:jc w:val="center"/>
        <w:rPr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 НАВЧАЛЬНИХ ЗАНЯТЬ</w:t>
      </w:r>
    </w:p>
    <w:p w:rsidR="005D22E2" w:rsidRPr="005D22E2" w:rsidRDefault="00FC2E4D" w:rsidP="005D22E2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5D22E2" w:rsidRPr="005D22E2">
        <w:rPr>
          <w:b/>
          <w:bCs/>
          <w:sz w:val="24"/>
          <w:szCs w:val="24"/>
        </w:rPr>
        <w:t xml:space="preserve">вчителів </w:t>
      </w:r>
      <w:r w:rsidR="00A47855" w:rsidRPr="00A47855">
        <w:rPr>
          <w:b/>
          <w:bCs/>
          <w:sz w:val="24"/>
          <w:szCs w:val="24"/>
        </w:rPr>
        <w:t>інтегрованого курсу «Мистецтво»</w:t>
      </w:r>
    </w:p>
    <w:p w:rsidR="005D22E2" w:rsidRPr="005D22E2" w:rsidRDefault="005D22E2" w:rsidP="005D22E2">
      <w:pPr>
        <w:jc w:val="center"/>
        <w:rPr>
          <w:b/>
          <w:bCs/>
          <w:sz w:val="24"/>
          <w:szCs w:val="24"/>
        </w:rPr>
      </w:pPr>
      <w:r w:rsidRPr="005D22E2">
        <w:rPr>
          <w:b/>
          <w:bCs/>
          <w:sz w:val="24"/>
          <w:szCs w:val="24"/>
        </w:rPr>
        <w:t xml:space="preserve">за освітньою програмою з теми </w:t>
      </w:r>
    </w:p>
    <w:p w:rsidR="00FC2E4D" w:rsidRDefault="005D22E2" w:rsidP="005D22E2">
      <w:pPr>
        <w:jc w:val="center"/>
        <w:rPr>
          <w:b/>
          <w:bCs/>
          <w:sz w:val="24"/>
          <w:szCs w:val="24"/>
        </w:rPr>
      </w:pPr>
      <w:r w:rsidRPr="005D22E2">
        <w:rPr>
          <w:b/>
          <w:bCs/>
          <w:sz w:val="24"/>
          <w:szCs w:val="24"/>
        </w:rPr>
        <w:t>«Мистецька освіта: оновлення підходів у викладанні»</w:t>
      </w:r>
    </w:p>
    <w:p w:rsidR="005D22E2" w:rsidRPr="00BC16C0" w:rsidRDefault="005D22E2" w:rsidP="005D22E2">
      <w:pPr>
        <w:jc w:val="center"/>
        <w:rPr>
          <w:b/>
          <w:sz w:val="26"/>
          <w:szCs w:val="26"/>
        </w:rPr>
      </w:pPr>
    </w:p>
    <w:p w:rsidR="00FC2E4D" w:rsidRPr="00BC16C0" w:rsidRDefault="00FC2E4D" w:rsidP="00FC2E4D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Pr="00BC16C0">
        <w:t xml:space="preserve"> </w:t>
      </w:r>
      <w:r w:rsidRPr="00BC16C0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0</w:t>
      </w:r>
      <w:r w:rsidR="005D22E2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.0</w:t>
      </w:r>
      <w:r w:rsidR="005D22E2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.2026-2</w:t>
      </w:r>
      <w:r w:rsidR="00831DB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.0</w:t>
      </w:r>
      <w:r w:rsidR="005D22E2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.2026</w:t>
      </w:r>
      <w:r w:rsidRPr="00BC16C0">
        <w:rPr>
          <w:sz w:val="24"/>
          <w:szCs w:val="24"/>
        </w:rPr>
        <w:tab/>
      </w:r>
      <w:r w:rsidRPr="00BC16C0">
        <w:rPr>
          <w:sz w:val="24"/>
          <w:szCs w:val="24"/>
        </w:rPr>
        <w:tab/>
      </w:r>
    </w:p>
    <w:p w:rsidR="00FC2E4D" w:rsidRPr="00BC16C0" w:rsidRDefault="00FC2E4D" w:rsidP="00FC2E4D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FC2E4D" w:rsidRDefault="00FC2E4D" w:rsidP="00FC2E4D">
      <w:pPr>
        <w:rPr>
          <w:b/>
          <w:sz w:val="24"/>
          <w:szCs w:val="24"/>
        </w:rPr>
      </w:pPr>
    </w:p>
    <w:p w:rsidR="00B849F6" w:rsidRPr="00BC16C0" w:rsidRDefault="00B849F6" w:rsidP="00FC2E4D">
      <w:pPr>
        <w:rPr>
          <w:b/>
          <w:sz w:val="24"/>
          <w:szCs w:val="24"/>
        </w:rPr>
      </w:pPr>
      <w:bookmarkStart w:id="0" w:name="_GoBack"/>
      <w:bookmarkEnd w:id="0"/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206"/>
        <w:gridCol w:w="790"/>
        <w:gridCol w:w="2371"/>
        <w:gridCol w:w="750"/>
        <w:gridCol w:w="1209"/>
        <w:gridCol w:w="1321"/>
        <w:gridCol w:w="1284"/>
        <w:gridCol w:w="1740"/>
      </w:tblGrid>
      <w:tr w:rsidR="00450937" w:rsidRPr="00BC16C0" w:rsidTr="00506519">
        <w:trPr>
          <w:trHeight w:val="769"/>
        </w:trPr>
        <w:tc>
          <w:tcPr>
            <w:tcW w:w="494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90" w:type="dxa"/>
            <w:vMerge w:val="restart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64" w:type="dxa"/>
            <w:gridSpan w:val="4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FC2E4D" w:rsidRPr="00BC16C0" w:rsidRDefault="00FC2E4D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450937" w:rsidRPr="00BC16C0" w:rsidTr="00506519">
        <w:tc>
          <w:tcPr>
            <w:tcW w:w="494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  <w:bookmarkStart w:id="1" w:name="_Hlk187689045"/>
          </w:p>
        </w:tc>
        <w:tc>
          <w:tcPr>
            <w:tcW w:w="1206" w:type="dxa"/>
            <w:vMerge/>
          </w:tcPr>
          <w:p w:rsidR="00FC2E4D" w:rsidRPr="00BC16C0" w:rsidRDefault="00FC2E4D" w:rsidP="007B505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0" w:type="dxa"/>
            <w:vMerge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371" w:type="dxa"/>
            <w:vMerge/>
            <w:shd w:val="clear" w:color="auto" w:fill="auto"/>
          </w:tcPr>
          <w:p w:rsidR="00FC2E4D" w:rsidRPr="00BC16C0" w:rsidRDefault="00FC2E4D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209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1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:rsidR="00FC2E4D" w:rsidRPr="00D263C8" w:rsidRDefault="00FC2E4D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740" w:type="dxa"/>
            <w:vMerge/>
            <w:shd w:val="clear" w:color="auto" w:fill="auto"/>
          </w:tcPr>
          <w:p w:rsidR="00FC2E4D" w:rsidRPr="00BC16C0" w:rsidRDefault="00FC2E4D" w:rsidP="007B5056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1"/>
      <w:tr w:rsidR="00450937" w:rsidRPr="00BC16C0" w:rsidTr="00506519">
        <w:tc>
          <w:tcPr>
            <w:tcW w:w="494" w:type="dxa"/>
          </w:tcPr>
          <w:p w:rsidR="00FC2E4D" w:rsidRPr="002A5323" w:rsidRDefault="002B263A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:rsidR="00FC2E4D" w:rsidRPr="002A5323" w:rsidRDefault="00FC2E4D" w:rsidP="0016586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A5323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5D22E2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2A5323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5D22E2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2A5323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FC2E4D" w:rsidRPr="002A5323" w:rsidRDefault="00FC2E4D" w:rsidP="005D22E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  <w:r w:rsidR="005D22E2">
              <w:rPr>
                <w:bCs/>
                <w:sz w:val="22"/>
                <w:szCs w:val="22"/>
              </w:rPr>
              <w:t>5</w:t>
            </w:r>
            <w:r w:rsidRPr="002A5323">
              <w:rPr>
                <w:bCs/>
                <w:sz w:val="22"/>
                <w:szCs w:val="22"/>
              </w:rPr>
              <w:t>.</w:t>
            </w:r>
            <w:r w:rsidR="005D22E2">
              <w:rPr>
                <w:bCs/>
                <w:sz w:val="22"/>
                <w:szCs w:val="22"/>
              </w:rPr>
              <w:t>15</w:t>
            </w:r>
            <w:r w:rsidRPr="002A5323">
              <w:rPr>
                <w:bCs/>
                <w:sz w:val="22"/>
                <w:szCs w:val="22"/>
              </w:rPr>
              <w:t>-1</w:t>
            </w:r>
            <w:r w:rsidR="005D22E2">
              <w:rPr>
                <w:bCs/>
                <w:sz w:val="22"/>
                <w:szCs w:val="22"/>
              </w:rPr>
              <w:t>6</w:t>
            </w:r>
            <w:r w:rsidRPr="002A5323">
              <w:rPr>
                <w:bCs/>
                <w:sz w:val="22"/>
                <w:szCs w:val="22"/>
              </w:rPr>
              <w:t>.</w:t>
            </w:r>
            <w:r w:rsidR="005D22E2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371" w:type="dxa"/>
            <w:shd w:val="clear" w:color="auto" w:fill="auto"/>
          </w:tcPr>
          <w:p w:rsidR="00AE6414" w:rsidRPr="00AE6414" w:rsidRDefault="00AE6414" w:rsidP="00AE64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E6414">
              <w:rPr>
                <w:rFonts w:eastAsia="Times New Roman"/>
                <w:sz w:val="24"/>
                <w:szCs w:val="24"/>
                <w:lang w:eastAsia="ru-RU"/>
              </w:rPr>
              <w:t>Настановне заняття.</w:t>
            </w:r>
          </w:p>
          <w:p w:rsidR="00FC2E4D" w:rsidRPr="002A5323" w:rsidRDefault="00AE6414" w:rsidP="00AE64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E6414">
              <w:rPr>
                <w:rFonts w:eastAsia="Times New Roman"/>
                <w:sz w:val="24"/>
                <w:szCs w:val="24"/>
                <w:lang w:eastAsia="ru-RU"/>
              </w:rPr>
              <w:t>Мотиваційна сесія «Мої очікування від навчання»</w:t>
            </w:r>
          </w:p>
        </w:tc>
        <w:tc>
          <w:tcPr>
            <w:tcW w:w="750" w:type="dxa"/>
            <w:shd w:val="clear" w:color="auto" w:fill="auto"/>
          </w:tcPr>
          <w:p w:rsidR="00FC2E4D" w:rsidRPr="002A5323" w:rsidRDefault="00FC2E4D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09" w:type="dxa"/>
            <w:shd w:val="clear" w:color="auto" w:fill="auto"/>
          </w:tcPr>
          <w:p w:rsidR="00FC2E4D" w:rsidRPr="002A5323" w:rsidRDefault="00FC2E4D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. 2</w:t>
            </w:r>
          </w:p>
        </w:tc>
        <w:tc>
          <w:tcPr>
            <w:tcW w:w="1321" w:type="dxa"/>
          </w:tcPr>
          <w:p w:rsidR="00FC2E4D" w:rsidRPr="002A5323" w:rsidRDefault="00FC2E4D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C2E4D" w:rsidRPr="002A5323" w:rsidRDefault="00FC2E4D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FC2E4D" w:rsidRPr="002A5323" w:rsidRDefault="00FC2E4D" w:rsidP="00FC2E4D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Вороніна Г.Л</w:t>
            </w:r>
          </w:p>
        </w:tc>
      </w:tr>
      <w:tr w:rsidR="00165862" w:rsidRPr="00BC16C0" w:rsidTr="00506519">
        <w:tc>
          <w:tcPr>
            <w:tcW w:w="494" w:type="dxa"/>
          </w:tcPr>
          <w:p w:rsidR="00165862" w:rsidRPr="002A5323" w:rsidRDefault="00475BD9" w:rsidP="0016586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:rsidR="00165862" w:rsidRPr="002A5323" w:rsidRDefault="00AE6414" w:rsidP="00165862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06.04</w:t>
            </w:r>
            <w:r w:rsidR="00165862"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165862" w:rsidRPr="002A5323" w:rsidRDefault="00165862" w:rsidP="00165862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165862" w:rsidRPr="002A5323" w:rsidRDefault="00AE6414" w:rsidP="0016586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E6414">
              <w:rPr>
                <w:rFonts w:eastAsia="Times New Roman"/>
                <w:sz w:val="24"/>
                <w:szCs w:val="24"/>
                <w:lang w:eastAsia="ru-RU"/>
              </w:rPr>
              <w:t>Трансформація за розкладом і без: мистецтво гнучкого навчання</w:t>
            </w:r>
          </w:p>
        </w:tc>
        <w:tc>
          <w:tcPr>
            <w:tcW w:w="750" w:type="dxa"/>
            <w:shd w:val="clear" w:color="auto" w:fill="auto"/>
          </w:tcPr>
          <w:p w:rsidR="00165862" w:rsidRPr="002A5323" w:rsidRDefault="00AE6414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165862" w:rsidRPr="002A5323" w:rsidRDefault="00165862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</w:tcPr>
          <w:p w:rsidR="00165862" w:rsidRPr="002A5323" w:rsidRDefault="00165862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165862" w:rsidRPr="002A5323" w:rsidRDefault="00165862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165862" w:rsidRPr="002A5323" w:rsidRDefault="00AE6414" w:rsidP="00165862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475BD9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06.04</w:t>
            </w:r>
            <w:r w:rsidR="00475BD9"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475BD9" w:rsidRPr="002A5323" w:rsidRDefault="00AE6414" w:rsidP="00475B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</w:t>
            </w:r>
            <w:r w:rsidR="00475BD9" w:rsidRPr="002A532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71" w:type="dxa"/>
            <w:shd w:val="clear" w:color="auto" w:fill="auto"/>
          </w:tcPr>
          <w:p w:rsidR="00475BD9" w:rsidRPr="002A5323" w:rsidRDefault="00AE6414" w:rsidP="00475B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E6414">
              <w:rPr>
                <w:rFonts w:eastAsia="Times New Roman"/>
                <w:sz w:val="24"/>
                <w:szCs w:val="24"/>
                <w:lang w:eastAsia="ru-RU"/>
              </w:rPr>
              <w:t>Артпедагогіка</w:t>
            </w:r>
            <w:proofErr w:type="spellEnd"/>
            <w:r w:rsidRPr="00AE6414">
              <w:rPr>
                <w:rFonts w:eastAsia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E6414">
              <w:rPr>
                <w:rFonts w:eastAsia="Times New Roman"/>
                <w:sz w:val="24"/>
                <w:szCs w:val="24"/>
                <w:lang w:eastAsia="ru-RU"/>
              </w:rPr>
              <w:t>арттерапія</w:t>
            </w:r>
            <w:proofErr w:type="spellEnd"/>
            <w:r w:rsidRPr="00AE6414">
              <w:rPr>
                <w:rFonts w:eastAsia="Times New Roman"/>
                <w:sz w:val="24"/>
                <w:szCs w:val="24"/>
                <w:lang w:eastAsia="ru-RU"/>
              </w:rPr>
              <w:t>. Методика розвитку особистості засобами мистецтва</w:t>
            </w:r>
          </w:p>
        </w:tc>
        <w:tc>
          <w:tcPr>
            <w:tcW w:w="750" w:type="dxa"/>
            <w:shd w:val="clear" w:color="auto" w:fill="auto"/>
          </w:tcPr>
          <w:p w:rsidR="00475BD9" w:rsidRPr="002A5323" w:rsidRDefault="00475BD9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475BD9" w:rsidRPr="002A5323" w:rsidRDefault="00AE6414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75BD9" w:rsidRPr="002A5323" w:rsidRDefault="00506519" w:rsidP="0050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75BD9" w:rsidRPr="002A5323" w:rsidRDefault="00475BD9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AE6414" w:rsidP="00475BD9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AE6414">
              <w:rPr>
                <w:rFonts w:eastAsia="Times New Roman"/>
                <w:sz w:val="24"/>
                <w:szCs w:val="24"/>
              </w:rPr>
              <w:t>Бєляєва К.Ю.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475BD9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07.04</w:t>
            </w:r>
            <w:r w:rsidR="00475BD9"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475BD9" w:rsidRPr="002A5323" w:rsidRDefault="00AE6414" w:rsidP="00475BD9">
            <w:pPr>
              <w:rPr>
                <w:bCs/>
                <w:sz w:val="22"/>
                <w:szCs w:val="22"/>
              </w:rPr>
            </w:pPr>
            <w:r w:rsidRPr="00AE6414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75BD9" w:rsidRPr="002A5323" w:rsidRDefault="00AE6414" w:rsidP="00475BD9">
            <w:pPr>
              <w:rPr>
                <w:rFonts w:eastAsia="Times New Roman"/>
                <w:sz w:val="24"/>
                <w:szCs w:val="24"/>
              </w:rPr>
            </w:pPr>
            <w:r w:rsidRPr="00AE6414">
              <w:rPr>
                <w:rFonts w:eastAsia="Times New Roman"/>
                <w:sz w:val="24"/>
                <w:szCs w:val="24"/>
              </w:rPr>
              <w:t>Культурна компетентність як основа розвитку особистості засобами культури й мистецтва</w:t>
            </w:r>
          </w:p>
        </w:tc>
        <w:tc>
          <w:tcPr>
            <w:tcW w:w="750" w:type="dxa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</w:tcPr>
          <w:p w:rsidR="00475BD9" w:rsidRPr="002A5323" w:rsidRDefault="00475BD9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75BD9" w:rsidRPr="002A5323" w:rsidRDefault="00475BD9" w:rsidP="00475B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AE6414" w:rsidP="00475BD9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AE6414">
              <w:rPr>
                <w:rFonts w:eastAsia="Times New Roman"/>
                <w:sz w:val="24"/>
                <w:szCs w:val="24"/>
                <w:lang w:eastAsia="ru-RU"/>
              </w:rPr>
              <w:t>Воропаєв</w:t>
            </w:r>
            <w:proofErr w:type="spellEnd"/>
            <w:r w:rsidRPr="00AE6414">
              <w:rPr>
                <w:rFonts w:eastAsia="Times New Roman"/>
                <w:sz w:val="24"/>
                <w:szCs w:val="24"/>
                <w:lang w:eastAsia="ru-RU"/>
              </w:rPr>
              <w:t xml:space="preserve"> Є.П.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475BD9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07.04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475BD9" w:rsidRPr="002A5323" w:rsidRDefault="00475BD9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75BD9" w:rsidRPr="002A5323" w:rsidRDefault="00AE6414" w:rsidP="00475BD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AE6414">
              <w:rPr>
                <w:rFonts w:eastAsia="Times New Roman"/>
                <w:sz w:val="24"/>
                <w:szCs w:val="24"/>
              </w:rPr>
              <w:t>Компетентнісний</w:t>
            </w:r>
            <w:proofErr w:type="spellEnd"/>
            <w:r w:rsidRPr="00AE6414">
              <w:rPr>
                <w:rFonts w:eastAsia="Times New Roman"/>
                <w:sz w:val="24"/>
                <w:szCs w:val="24"/>
              </w:rPr>
              <w:t xml:space="preserve"> потенціал мистецької освітньої галузі</w:t>
            </w:r>
          </w:p>
        </w:tc>
        <w:tc>
          <w:tcPr>
            <w:tcW w:w="750" w:type="dxa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475BD9" w:rsidRPr="002A5323" w:rsidRDefault="002A5323" w:rsidP="0050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75BD9" w:rsidRPr="002A5323" w:rsidRDefault="00475BD9" w:rsidP="00475B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AE6414" w:rsidP="00475BD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E6414">
              <w:rPr>
                <w:rFonts w:eastAsia="Times New Roman"/>
                <w:sz w:val="24"/>
                <w:szCs w:val="24"/>
                <w:lang w:eastAsia="ru-RU"/>
              </w:rPr>
              <w:t>Синиця Л.А.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475BD9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08.04</w:t>
            </w:r>
            <w:r w:rsidR="00475BD9"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475BD9" w:rsidRPr="002A5323" w:rsidRDefault="0084460B" w:rsidP="00475BD9">
            <w:pPr>
              <w:rPr>
                <w:bCs/>
                <w:sz w:val="22"/>
                <w:szCs w:val="22"/>
              </w:rPr>
            </w:pPr>
            <w:r w:rsidRPr="0084460B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475BD9" w:rsidRPr="002A5323" w:rsidRDefault="00AE6414" w:rsidP="00475BD9">
            <w:pPr>
              <w:rPr>
                <w:rFonts w:eastAsia="Times New Roman"/>
                <w:sz w:val="24"/>
                <w:szCs w:val="24"/>
              </w:rPr>
            </w:pPr>
            <w:r w:rsidRPr="00AE6414">
              <w:rPr>
                <w:rFonts w:eastAsia="Times New Roman"/>
                <w:sz w:val="24"/>
                <w:szCs w:val="24"/>
              </w:rPr>
              <w:t>Від натхнення до розвитку: педагогічна модель СЕЕН в освіті</w:t>
            </w:r>
          </w:p>
        </w:tc>
        <w:tc>
          <w:tcPr>
            <w:tcW w:w="750" w:type="dxa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475BD9" w:rsidRPr="002A5323" w:rsidRDefault="00475BD9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75BD9" w:rsidRPr="002A5323" w:rsidRDefault="00475BD9" w:rsidP="00475B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475BD9" w:rsidP="00475BD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475BD9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08.04</w:t>
            </w:r>
            <w:r w:rsidR="00475BD9"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475BD9" w:rsidRPr="002A5323" w:rsidRDefault="00AE6414" w:rsidP="00475B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18.30-20</w:t>
            </w:r>
            <w:r w:rsidRPr="00AE6414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371" w:type="dxa"/>
            <w:shd w:val="clear" w:color="auto" w:fill="auto"/>
          </w:tcPr>
          <w:p w:rsidR="00475BD9" w:rsidRPr="002A5323" w:rsidRDefault="00AE6414" w:rsidP="00475BD9">
            <w:pPr>
              <w:rPr>
                <w:rFonts w:eastAsia="Times New Roman"/>
                <w:sz w:val="24"/>
                <w:szCs w:val="24"/>
              </w:rPr>
            </w:pPr>
            <w:r w:rsidRPr="00AE6414">
              <w:rPr>
                <w:rFonts w:eastAsia="Times New Roman"/>
                <w:sz w:val="24"/>
                <w:szCs w:val="24"/>
              </w:rPr>
              <w:t>Особливості організації освітнього процесу на уроках мистецтва</w:t>
            </w:r>
          </w:p>
        </w:tc>
        <w:tc>
          <w:tcPr>
            <w:tcW w:w="750" w:type="dxa"/>
            <w:shd w:val="clear" w:color="auto" w:fill="auto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475BD9" w:rsidRPr="002A5323" w:rsidRDefault="00475BD9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475BD9" w:rsidRPr="002A5323" w:rsidRDefault="00475BD9" w:rsidP="00475B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AE6414" w:rsidP="00475BD9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AE6414">
              <w:rPr>
                <w:rFonts w:eastAsia="Times New Roman"/>
                <w:sz w:val="24"/>
                <w:szCs w:val="24"/>
              </w:rPr>
              <w:t>Дощак</w:t>
            </w:r>
            <w:proofErr w:type="spellEnd"/>
            <w:r w:rsidRPr="00AE6414">
              <w:rPr>
                <w:rFonts w:eastAsia="Times New Roman"/>
                <w:sz w:val="24"/>
                <w:szCs w:val="24"/>
              </w:rPr>
              <w:t xml:space="preserve"> І.К.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475BD9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09.04</w:t>
            </w:r>
            <w:r w:rsidR="00475BD9"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sz w:val="22"/>
                <w:szCs w:val="22"/>
              </w:rPr>
            </w:pPr>
            <w:r w:rsidRPr="00AE6414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475BD9" w:rsidRPr="002A5323" w:rsidRDefault="00AE6414" w:rsidP="00475BD9">
            <w:pPr>
              <w:rPr>
                <w:sz w:val="22"/>
                <w:szCs w:val="22"/>
              </w:rPr>
            </w:pPr>
            <w:r w:rsidRPr="00AE6414">
              <w:rPr>
                <w:sz w:val="22"/>
                <w:szCs w:val="22"/>
              </w:rPr>
              <w:t>Реалізація концепції “Нова українська школа” в базовій середній освіті</w:t>
            </w:r>
          </w:p>
        </w:tc>
        <w:tc>
          <w:tcPr>
            <w:tcW w:w="750" w:type="dxa"/>
            <w:shd w:val="clear" w:color="auto" w:fill="auto"/>
          </w:tcPr>
          <w:p w:rsidR="00475BD9" w:rsidRPr="002A5323" w:rsidRDefault="00475BD9" w:rsidP="0050651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475BD9" w:rsidRPr="002A5323" w:rsidRDefault="00475BD9" w:rsidP="00506519">
            <w:pPr>
              <w:jc w:val="center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75BD9" w:rsidRPr="002A5323" w:rsidRDefault="00475BD9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75BD9" w:rsidRPr="002A5323" w:rsidRDefault="00475BD9" w:rsidP="00475BD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AE6414" w:rsidP="00475BD9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AE6414">
              <w:rPr>
                <w:bCs/>
                <w:sz w:val="22"/>
                <w:szCs w:val="22"/>
              </w:rPr>
              <w:t>Байназарова</w:t>
            </w:r>
            <w:proofErr w:type="spellEnd"/>
            <w:r w:rsidRPr="00AE6414">
              <w:rPr>
                <w:bCs/>
                <w:sz w:val="22"/>
                <w:szCs w:val="22"/>
              </w:rPr>
              <w:t xml:space="preserve"> О.О.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A97E7A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:rsidR="00475BD9" w:rsidRPr="002A5323" w:rsidRDefault="00AE641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AE6414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09.04.2026</w:t>
            </w:r>
          </w:p>
        </w:tc>
        <w:tc>
          <w:tcPr>
            <w:tcW w:w="790" w:type="dxa"/>
          </w:tcPr>
          <w:p w:rsidR="00475BD9" w:rsidRPr="002A5323" w:rsidRDefault="00475BD9" w:rsidP="00475BD9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371" w:type="dxa"/>
            <w:shd w:val="clear" w:color="auto" w:fill="auto"/>
          </w:tcPr>
          <w:p w:rsidR="00475BD9" w:rsidRPr="002A5323" w:rsidRDefault="00AE6414" w:rsidP="00475BD9">
            <w:pPr>
              <w:rPr>
                <w:sz w:val="22"/>
                <w:szCs w:val="22"/>
              </w:rPr>
            </w:pPr>
            <w:r w:rsidRPr="00AE6414">
              <w:rPr>
                <w:sz w:val="22"/>
                <w:szCs w:val="22"/>
              </w:rPr>
              <w:t>Творчість у дії: інтерактивні прийоми на уроках мистецтва</w:t>
            </w:r>
          </w:p>
        </w:tc>
        <w:tc>
          <w:tcPr>
            <w:tcW w:w="750" w:type="dxa"/>
            <w:shd w:val="clear" w:color="auto" w:fill="auto"/>
          </w:tcPr>
          <w:p w:rsidR="00475BD9" w:rsidRPr="002A5323" w:rsidRDefault="00475BD9" w:rsidP="0050651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475BD9" w:rsidRPr="002A5323" w:rsidRDefault="00475BD9" w:rsidP="00506519">
            <w:pPr>
              <w:jc w:val="center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475BD9" w:rsidRPr="002A5323" w:rsidRDefault="00463C34" w:rsidP="00506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475BD9" w:rsidRPr="002A5323" w:rsidRDefault="00475BD9" w:rsidP="00475BD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463C34" w:rsidP="00475BD9">
            <w:pPr>
              <w:jc w:val="left"/>
              <w:rPr>
                <w:bCs/>
                <w:sz w:val="22"/>
                <w:szCs w:val="22"/>
              </w:rPr>
            </w:pPr>
            <w:r w:rsidRPr="00463C34">
              <w:rPr>
                <w:bCs/>
                <w:sz w:val="22"/>
                <w:szCs w:val="22"/>
              </w:rPr>
              <w:t>Павлова Л.В.</w:t>
            </w:r>
          </w:p>
        </w:tc>
      </w:tr>
      <w:tr w:rsidR="00475BD9" w:rsidRPr="00BC16C0" w:rsidTr="00506519">
        <w:tc>
          <w:tcPr>
            <w:tcW w:w="494" w:type="dxa"/>
          </w:tcPr>
          <w:p w:rsidR="00475BD9" w:rsidRPr="002A5323" w:rsidRDefault="00A97E7A" w:rsidP="00475BD9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206" w:type="dxa"/>
          </w:tcPr>
          <w:p w:rsidR="00475BD9" w:rsidRPr="002A5323" w:rsidRDefault="00463C34" w:rsidP="00475BD9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10.04</w:t>
            </w:r>
            <w:r w:rsidR="00475BD9"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475BD9" w:rsidRPr="002A5323" w:rsidRDefault="00475BD9" w:rsidP="00475BD9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71" w:type="dxa"/>
            <w:shd w:val="clear" w:color="auto" w:fill="auto"/>
          </w:tcPr>
          <w:p w:rsidR="00475BD9" w:rsidRPr="002A5323" w:rsidRDefault="00463C34" w:rsidP="00475BD9">
            <w:pPr>
              <w:rPr>
                <w:rFonts w:eastAsia="Times New Roman"/>
                <w:sz w:val="24"/>
                <w:szCs w:val="24"/>
              </w:rPr>
            </w:pPr>
            <w:r w:rsidRPr="00463C34">
              <w:rPr>
                <w:rFonts w:eastAsia="Times New Roman"/>
                <w:sz w:val="24"/>
                <w:szCs w:val="24"/>
              </w:rPr>
              <w:t>Універсальний дизайн навчання: інтегровані інструменти та гнучкі практики</w:t>
            </w:r>
          </w:p>
        </w:tc>
        <w:tc>
          <w:tcPr>
            <w:tcW w:w="750" w:type="dxa"/>
            <w:shd w:val="clear" w:color="auto" w:fill="auto"/>
          </w:tcPr>
          <w:p w:rsidR="00475BD9" w:rsidRPr="002A5323" w:rsidRDefault="00475BD9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475BD9" w:rsidRPr="002A5323" w:rsidRDefault="00463C34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bookmarkStart w:id="2" w:name="_heading=h.x38650rmalfw" w:colFirst="0" w:colLast="0"/>
            <w:bookmarkEnd w:id="2"/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75BD9" w:rsidRPr="002A5323" w:rsidRDefault="00475BD9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475BD9" w:rsidRPr="002A5323" w:rsidRDefault="00475BD9" w:rsidP="00475BD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75BD9" w:rsidRPr="002A5323" w:rsidRDefault="00463C34" w:rsidP="00475BD9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463C34">
              <w:rPr>
                <w:rFonts w:eastAsia="Times New Roman"/>
                <w:sz w:val="24"/>
                <w:szCs w:val="24"/>
              </w:rPr>
              <w:t>Байназарова</w:t>
            </w:r>
            <w:proofErr w:type="spellEnd"/>
            <w:r w:rsidRPr="00463C34">
              <w:rPr>
                <w:rFonts w:eastAsia="Times New Roman"/>
                <w:sz w:val="24"/>
                <w:szCs w:val="24"/>
              </w:rPr>
              <w:t xml:space="preserve">  О.О.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463C34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463C34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b/>
                <w:bCs/>
              </w:rPr>
            </w:pPr>
            <w:proofErr w:type="spellStart"/>
            <w:r w:rsidRPr="00534FAE">
              <w:rPr>
                <w:rFonts w:eastAsia="Times New Roman"/>
                <w:sz w:val="24"/>
                <w:szCs w:val="24"/>
              </w:rPr>
              <w:t>Травмочутлива</w:t>
            </w:r>
            <w:proofErr w:type="spellEnd"/>
            <w:r w:rsidRPr="00534FAE">
              <w:rPr>
                <w:rFonts w:eastAsia="Times New Roman"/>
                <w:sz w:val="24"/>
                <w:szCs w:val="24"/>
              </w:rPr>
              <w:t xml:space="preserve"> педагогіка: школа діалогу культур як простір зцілення та відновлення особистості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84460B" w:rsidRPr="002A5323" w:rsidRDefault="0084460B" w:rsidP="00844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534FAE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534FAE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463C34">
              <w:rPr>
                <w:rFonts w:eastAsia="Times New Roman"/>
                <w:sz w:val="24"/>
                <w:szCs w:val="24"/>
              </w:rPr>
              <w:t>Практико орієнтовані завдання в архітектурі сучасного уроку мистецтва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463C34">
              <w:rPr>
                <w:rFonts w:eastAsia="Times New Roman"/>
                <w:sz w:val="24"/>
                <w:szCs w:val="24"/>
              </w:rPr>
              <w:t>Павлова Л.В.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0711DB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71" w:type="dxa"/>
            <w:shd w:val="clear" w:color="auto" w:fill="auto"/>
          </w:tcPr>
          <w:p w:rsidR="0084460B" w:rsidRPr="00463C34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0711DB">
              <w:rPr>
                <w:rFonts w:eastAsia="Times New Roman"/>
                <w:sz w:val="24"/>
                <w:szCs w:val="24"/>
              </w:rPr>
              <w:t>Урок мистецтва як  простір розвитку дітей з ООП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463C34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0711DB">
              <w:rPr>
                <w:rFonts w:eastAsia="Times New Roman"/>
                <w:sz w:val="24"/>
                <w:szCs w:val="24"/>
              </w:rPr>
              <w:t>Колісник О.В.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0711DB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Шляхи формування української ідентичності в роботі керівника гуртка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84460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0711DB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0711DB">
              <w:rPr>
                <w:rFonts w:eastAsia="Times New Roman"/>
                <w:sz w:val="24"/>
                <w:szCs w:val="24"/>
              </w:rPr>
              <w:t>Інформаційно-цифрова компетентність учителя мистецтва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0711DB">
              <w:rPr>
                <w:rFonts w:eastAsia="Times New Roman"/>
                <w:sz w:val="24"/>
                <w:szCs w:val="24"/>
              </w:rPr>
              <w:t>Папернова Т.В.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0711DB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0711DB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371" w:type="dxa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0711DB">
              <w:rPr>
                <w:rFonts w:eastAsia="Times New Roman"/>
                <w:sz w:val="24"/>
                <w:szCs w:val="24"/>
              </w:rPr>
              <w:t xml:space="preserve">Інтегрований підхід у викладанні предметів мистецької освітньої галузі   </w:t>
            </w:r>
          </w:p>
        </w:tc>
        <w:tc>
          <w:tcPr>
            <w:tcW w:w="750" w:type="dxa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0711DB">
              <w:rPr>
                <w:rFonts w:eastAsia="Times New Roman"/>
                <w:sz w:val="24"/>
                <w:szCs w:val="24"/>
              </w:rPr>
              <w:t>Дощак</w:t>
            </w:r>
            <w:proofErr w:type="spellEnd"/>
            <w:r w:rsidRPr="000711DB">
              <w:rPr>
                <w:rFonts w:eastAsia="Times New Roman"/>
                <w:sz w:val="24"/>
                <w:szCs w:val="24"/>
              </w:rPr>
              <w:t xml:space="preserve"> І.К.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0711DB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63C34">
              <w:rPr>
                <w:rFonts w:eastAsia="Times New Roman"/>
                <w:color w:val="000000"/>
                <w:sz w:val="24"/>
                <w:szCs w:val="24"/>
              </w:rPr>
              <w:t>Нові парадигми мистецької освіти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463C34">
              <w:rPr>
                <w:rFonts w:eastAsia="Times New Roman"/>
                <w:color w:val="000000"/>
                <w:sz w:val="24"/>
                <w:szCs w:val="24"/>
              </w:rPr>
              <w:t>Вороніна Г.Л.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0711DB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sz w:val="22"/>
                <w:szCs w:val="22"/>
              </w:rPr>
            </w:pPr>
            <w:r w:rsidRPr="000711DB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iCs/>
                <w:sz w:val="22"/>
                <w:szCs w:val="22"/>
              </w:rPr>
            </w:pPr>
            <w:r w:rsidRPr="000711DB">
              <w:rPr>
                <w:rFonts w:eastAsia="Times New Roman"/>
                <w:iCs/>
                <w:sz w:val="22"/>
                <w:szCs w:val="22"/>
              </w:rPr>
              <w:t>Цифрові інструменти оцінювання результатів навчання мистецької освітньої галузі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  <w:r w:rsidRPr="00463C34">
              <w:rPr>
                <w:rFonts w:eastAsia="Times New Roman"/>
                <w:sz w:val="24"/>
                <w:szCs w:val="24"/>
              </w:rPr>
              <w:t>Павлова Л.В.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sz w:val="22"/>
                <w:szCs w:val="22"/>
              </w:rPr>
            </w:pPr>
            <w:r w:rsidRPr="00D8644D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Штучний інтелект як віртуальний помічник учителя мистецтва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Астахова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М.С.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Психологічна компетентність педагога як провідна умова створення психологічного комфорту в класі в умовах воєнного стану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D8644D">
              <w:rPr>
                <w:rFonts w:eastAsia="Times New Roman"/>
                <w:sz w:val="24"/>
                <w:szCs w:val="24"/>
              </w:rPr>
              <w:t>Замазій</w:t>
            </w:r>
            <w:proofErr w:type="spellEnd"/>
            <w:r w:rsidRPr="00D8644D">
              <w:rPr>
                <w:rFonts w:eastAsia="Times New Roman"/>
                <w:sz w:val="24"/>
                <w:szCs w:val="24"/>
              </w:rPr>
              <w:t xml:space="preserve"> Ю.О.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D8644D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0711DB">
              <w:rPr>
                <w:rFonts w:eastAsia="Times New Roman"/>
                <w:sz w:val="24"/>
                <w:szCs w:val="24"/>
              </w:rPr>
              <w:t>Модельні програми: інтегрований підхід до планування освітнього процесу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8446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D8644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D8644D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Архетипи творчості в освітньому просторі: інтеграція сучасних підходів у мистецькій освіті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D8644D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D8644D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D8644D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shd w:val="clear" w:color="auto" w:fill="FFFFFF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Психолого-педагогічні  аспекти розбудови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освітнього простору в умовах війни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84460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84460B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Align w:val="center"/>
          </w:tcPr>
          <w:p w:rsidR="0084460B" w:rsidRPr="002A5323" w:rsidRDefault="0084460B" w:rsidP="008446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Носенко В.В.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D8644D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Цифрові сервіси для вчителя мистецтва:  освітні ресурси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84460B" w:rsidRPr="002A5323" w:rsidRDefault="0084460B" w:rsidP="0084460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84460B">
            <w:pPr>
              <w:jc w:val="center"/>
              <w:rPr>
                <w:sz w:val="22"/>
                <w:szCs w:val="22"/>
              </w:rPr>
            </w:pPr>
          </w:p>
          <w:p w:rsidR="0084460B" w:rsidRPr="002A5323" w:rsidRDefault="0084460B" w:rsidP="0084460B">
            <w:pPr>
              <w:jc w:val="center"/>
              <w:rPr>
                <w:sz w:val="22"/>
                <w:szCs w:val="22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vAlign w:val="center"/>
          </w:tcPr>
          <w:p w:rsidR="0084460B" w:rsidRPr="002A5323" w:rsidRDefault="0084460B" w:rsidP="00844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8644D">
              <w:rPr>
                <w:rFonts w:eastAsia="Times New Roman"/>
                <w:sz w:val="24"/>
                <w:szCs w:val="24"/>
                <w:lang w:eastAsia="ru-RU"/>
              </w:rPr>
              <w:t>Папернова Т.В.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D8644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D8644D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D8644D">
              <w:rPr>
                <w:rFonts w:eastAsia="Times New Roman"/>
                <w:sz w:val="24"/>
                <w:szCs w:val="24"/>
                <w:lang w:val="uk" w:eastAsia="uk-UA"/>
              </w:rPr>
              <w:t>Проєктування</w:t>
            </w:r>
            <w:proofErr w:type="spellEnd"/>
            <w:r w:rsidRPr="00D8644D">
              <w:rPr>
                <w:rFonts w:eastAsia="Times New Roman"/>
                <w:sz w:val="24"/>
                <w:szCs w:val="24"/>
                <w:lang w:val="uk" w:eastAsia="uk-UA"/>
              </w:rPr>
              <w:t xml:space="preserve"> уроку мистецтва відповідно до нових форматів освіти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84460B" w:rsidRPr="002A5323" w:rsidRDefault="0084460B" w:rsidP="008446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844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84460B" w:rsidRPr="002A5323" w:rsidRDefault="0084460B" w:rsidP="00844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8644D">
              <w:rPr>
                <w:rFonts w:eastAsia="Times New Roman"/>
                <w:sz w:val="24"/>
                <w:szCs w:val="24"/>
              </w:rPr>
              <w:t>Дошак</w:t>
            </w:r>
            <w:proofErr w:type="spellEnd"/>
            <w:r w:rsidRPr="00D8644D">
              <w:rPr>
                <w:rFonts w:eastAsia="Times New Roman"/>
                <w:sz w:val="24"/>
                <w:szCs w:val="24"/>
              </w:rPr>
              <w:t xml:space="preserve"> І.К.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D8644D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 xml:space="preserve">STEAM і мистецтво: створюємо нові </w:t>
            </w:r>
            <w:proofErr w:type="spellStart"/>
            <w:r w:rsidRPr="00D8644D">
              <w:rPr>
                <w:rFonts w:eastAsia="Times New Roman"/>
                <w:sz w:val="24"/>
                <w:szCs w:val="24"/>
              </w:rPr>
              <w:t>сенси</w:t>
            </w:r>
            <w:proofErr w:type="spellEnd"/>
            <w:r w:rsidRPr="00D8644D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 w:rsidRPr="00D8644D">
              <w:rPr>
                <w:rFonts w:eastAsia="Times New Roman"/>
                <w:sz w:val="24"/>
                <w:szCs w:val="24"/>
              </w:rPr>
              <w:t>уроці</w:t>
            </w:r>
            <w:proofErr w:type="spellEnd"/>
          </w:p>
        </w:tc>
        <w:tc>
          <w:tcPr>
            <w:tcW w:w="750" w:type="dxa"/>
            <w:shd w:val="clear" w:color="auto" w:fill="auto"/>
            <w:vAlign w:val="center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  <w:r w:rsidRPr="00D8644D">
              <w:rPr>
                <w:rFonts w:eastAsia="Times New Roman"/>
                <w:color w:val="000000"/>
                <w:sz w:val="24"/>
                <w:szCs w:val="24"/>
              </w:rPr>
              <w:t>Вороніна Г.Л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D8644D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D8644D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Академічна доброчесність як віддзеркалення якості освіти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. 2</w:t>
            </w:r>
          </w:p>
        </w:tc>
        <w:tc>
          <w:tcPr>
            <w:tcW w:w="1321" w:type="dxa"/>
            <w:vAlign w:val="center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sz w:val="22"/>
                <w:szCs w:val="22"/>
              </w:rPr>
            </w:pPr>
            <w:r w:rsidRPr="00534FAE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534FA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4460B" w:rsidRPr="002A5323" w:rsidRDefault="0084460B" w:rsidP="0084460B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34FAE">
              <w:rPr>
                <w:rFonts w:eastAsia="Times New Roman"/>
                <w:sz w:val="24"/>
                <w:szCs w:val="24"/>
              </w:rPr>
              <w:t>Сучасні підходи до навчання в Новій українській школі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21" w:type="dxa"/>
            <w:vAlign w:val="center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534FAE">
              <w:rPr>
                <w:rFonts w:eastAsia="Times New Roman"/>
                <w:sz w:val="24"/>
                <w:szCs w:val="24"/>
              </w:rPr>
              <w:t>Волкова І.В.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534FA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24.04.2026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534FAE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Ресурси мистецтва: практичні кейси та інструменти для інтеграції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D8644D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84460B" w:rsidRPr="00BC16C0" w:rsidTr="00506519">
        <w:tc>
          <w:tcPr>
            <w:tcW w:w="494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:rsidR="0084460B" w:rsidRPr="002A5323" w:rsidRDefault="0084460B" w:rsidP="0084460B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27.04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90" w:type="dxa"/>
          </w:tcPr>
          <w:p w:rsidR="0084460B" w:rsidRPr="002A5323" w:rsidRDefault="0084460B" w:rsidP="0084460B">
            <w:pPr>
              <w:rPr>
                <w:bCs/>
                <w:sz w:val="22"/>
                <w:szCs w:val="22"/>
              </w:rPr>
            </w:pPr>
            <w:r w:rsidRPr="00534FAE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71" w:type="dxa"/>
            <w:shd w:val="clear" w:color="auto" w:fill="auto"/>
          </w:tcPr>
          <w:p w:rsidR="0084460B" w:rsidRPr="002A5323" w:rsidRDefault="0084460B" w:rsidP="0084460B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534FAE">
              <w:rPr>
                <w:rFonts w:eastAsia="Times New Roman"/>
                <w:sz w:val="24"/>
                <w:szCs w:val="24"/>
                <w:lang w:eastAsia="ru-RU"/>
              </w:rPr>
              <w:t>Рефлексивна сесія «Мої професійні відкриття: що допоможе  мені стати кращим фахівцем”</w:t>
            </w:r>
          </w:p>
        </w:tc>
        <w:tc>
          <w:tcPr>
            <w:tcW w:w="750" w:type="dxa"/>
            <w:shd w:val="clear" w:color="auto" w:fill="auto"/>
          </w:tcPr>
          <w:p w:rsidR="0084460B" w:rsidRPr="002A5323" w:rsidRDefault="0084460B" w:rsidP="00506519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209" w:type="dxa"/>
            <w:shd w:val="clear" w:color="auto" w:fill="auto"/>
          </w:tcPr>
          <w:p w:rsidR="0084460B" w:rsidRPr="002A5323" w:rsidRDefault="0084460B" w:rsidP="0050651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vAlign w:val="center"/>
          </w:tcPr>
          <w:p w:rsidR="0084460B" w:rsidRPr="002A5323" w:rsidRDefault="0084460B" w:rsidP="005065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84460B" w:rsidRPr="002A5323" w:rsidRDefault="0084460B" w:rsidP="00506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4460B" w:rsidRPr="002A5323" w:rsidRDefault="0084460B" w:rsidP="0084460B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534FAE">
              <w:rPr>
                <w:rFonts w:eastAsia="Times New Roman"/>
                <w:sz w:val="24"/>
                <w:szCs w:val="24"/>
                <w:lang w:eastAsia="ru-RU"/>
              </w:rPr>
              <w:t>Вороніна Г.Л.</w:t>
            </w:r>
          </w:p>
        </w:tc>
      </w:tr>
      <w:tr w:rsidR="0084460B" w:rsidRPr="00BC16C0" w:rsidTr="00506519">
        <w:tc>
          <w:tcPr>
            <w:tcW w:w="4861" w:type="dxa"/>
            <w:gridSpan w:val="4"/>
            <w:vAlign w:val="center"/>
          </w:tcPr>
          <w:p w:rsidR="0084460B" w:rsidRPr="00BC16C0" w:rsidRDefault="0084460B" w:rsidP="008446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50" w:type="dxa"/>
            <w:vAlign w:val="center"/>
          </w:tcPr>
          <w:p w:rsidR="0084460B" w:rsidRPr="00BC16C0" w:rsidRDefault="0084460B" w:rsidP="008446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 w:rsidR="0084460B" w:rsidRPr="00BC16C0" w:rsidRDefault="0084460B" w:rsidP="008446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84460B" w:rsidRPr="00BC16C0" w:rsidRDefault="0084460B" w:rsidP="008446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84460B" w:rsidRPr="00EA70EB" w:rsidRDefault="0084460B" w:rsidP="0084460B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84460B" w:rsidRPr="00BC16C0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</w:tr>
      <w:tr w:rsidR="0084460B" w:rsidRPr="00BC16C0" w:rsidTr="00506519">
        <w:tc>
          <w:tcPr>
            <w:tcW w:w="4861" w:type="dxa"/>
            <w:gridSpan w:val="4"/>
            <w:vAlign w:val="center"/>
          </w:tcPr>
          <w:p w:rsidR="0084460B" w:rsidRDefault="0084460B" w:rsidP="008446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50" w:type="dxa"/>
            <w:vAlign w:val="center"/>
          </w:tcPr>
          <w:p w:rsidR="0084460B" w:rsidRPr="002B263A" w:rsidRDefault="0084460B" w:rsidP="0084460B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center"/>
          </w:tcPr>
          <w:p w:rsidR="0084460B" w:rsidRPr="002B263A" w:rsidRDefault="0084460B" w:rsidP="0084460B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1" w:type="dxa"/>
            <w:vAlign w:val="center"/>
          </w:tcPr>
          <w:p w:rsidR="0084460B" w:rsidRPr="000C0630" w:rsidRDefault="0084460B" w:rsidP="0084460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84" w:type="dxa"/>
            <w:vAlign w:val="center"/>
          </w:tcPr>
          <w:p w:rsidR="0084460B" w:rsidRPr="00EA70EB" w:rsidRDefault="0084460B" w:rsidP="00844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84460B" w:rsidRPr="00BC16C0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</w:tr>
      <w:tr w:rsidR="0084460B" w:rsidRPr="00BC16C0" w:rsidTr="00506519">
        <w:tc>
          <w:tcPr>
            <w:tcW w:w="4861" w:type="dxa"/>
            <w:gridSpan w:val="4"/>
            <w:vAlign w:val="center"/>
          </w:tcPr>
          <w:p w:rsidR="0084460B" w:rsidRDefault="0084460B" w:rsidP="008446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64" w:type="dxa"/>
            <w:gridSpan w:val="4"/>
            <w:vAlign w:val="center"/>
          </w:tcPr>
          <w:p w:rsidR="0084460B" w:rsidRPr="000C0630" w:rsidRDefault="0084460B" w:rsidP="0084460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740" w:type="dxa"/>
            <w:shd w:val="clear" w:color="auto" w:fill="auto"/>
          </w:tcPr>
          <w:p w:rsidR="0084460B" w:rsidRPr="00BC16C0" w:rsidRDefault="0084460B" w:rsidP="0084460B">
            <w:pPr>
              <w:jc w:val="left"/>
              <w:rPr>
                <w:sz w:val="22"/>
                <w:szCs w:val="22"/>
              </w:rPr>
            </w:pPr>
          </w:p>
        </w:tc>
      </w:tr>
    </w:tbl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</w:p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  <w:t>Галина ВОРОНІНА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FC2E4D" w:rsidRDefault="00FC2E4D" w:rsidP="00FC2E4D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Астахова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медіаграмотності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DECIDE</w:t>
      </w:r>
    </w:p>
    <w:p w:rsidR="0084460B" w:rsidRDefault="0084460B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</w:p>
    <w:p w:rsidR="0084460B" w:rsidRPr="0084460B" w:rsidRDefault="0084460B" w:rsidP="0084460B">
      <w:pPr>
        <w:ind w:left="426"/>
        <w:jc w:val="left"/>
        <w:rPr>
          <w:rFonts w:eastAsia="Times New Roman"/>
          <w:sz w:val="24"/>
          <w:szCs w:val="24"/>
          <w:lang w:eastAsia="uk-UA"/>
        </w:rPr>
      </w:pPr>
      <w:proofErr w:type="spellStart"/>
      <w:r w:rsidRPr="0084460B">
        <w:rPr>
          <w:rFonts w:eastAsia="Times New Roman"/>
          <w:sz w:val="24"/>
          <w:szCs w:val="24"/>
          <w:lang w:eastAsia="uk-UA"/>
        </w:rPr>
        <w:t>Байназарова</w:t>
      </w:r>
      <w:proofErr w:type="spellEnd"/>
      <w:r w:rsidRPr="0084460B">
        <w:rPr>
          <w:rFonts w:eastAsia="Times New Roman"/>
          <w:sz w:val="24"/>
          <w:szCs w:val="24"/>
          <w:lang w:eastAsia="uk-UA"/>
        </w:rPr>
        <w:t xml:space="preserve"> Олена Олександрівна, старший викладач секції культури здоров’я, психологічної </w:t>
      </w:r>
    </w:p>
    <w:p w:rsidR="0084460B" w:rsidRDefault="0084460B" w:rsidP="0084460B">
      <w:pPr>
        <w:ind w:left="426"/>
        <w:jc w:val="left"/>
        <w:rPr>
          <w:rFonts w:eastAsia="Times New Roman"/>
          <w:sz w:val="24"/>
          <w:szCs w:val="24"/>
          <w:lang w:eastAsia="uk-UA"/>
        </w:rPr>
      </w:pPr>
      <w:r w:rsidRPr="0084460B">
        <w:rPr>
          <w:rFonts w:eastAsia="Times New Roman"/>
          <w:sz w:val="24"/>
          <w:szCs w:val="24"/>
          <w:lang w:eastAsia="uk-UA"/>
        </w:rPr>
        <w:t xml:space="preserve">та інклюзивної освіти, магістр державного управління, менеджер освіти, тренер НУШ, тренер з інклюзивної освіти, тренер з </w:t>
      </w:r>
      <w:proofErr w:type="spellStart"/>
      <w:r w:rsidRPr="0084460B">
        <w:rPr>
          <w:rFonts w:eastAsia="Times New Roman"/>
          <w:sz w:val="24"/>
          <w:szCs w:val="24"/>
          <w:lang w:eastAsia="uk-UA"/>
        </w:rPr>
        <w:t>інфомедійної</w:t>
      </w:r>
      <w:proofErr w:type="spellEnd"/>
      <w:r w:rsidRPr="0084460B">
        <w:rPr>
          <w:rFonts w:eastAsia="Times New Roman"/>
          <w:sz w:val="24"/>
          <w:szCs w:val="24"/>
          <w:lang w:eastAsia="uk-UA"/>
        </w:rPr>
        <w:t xml:space="preserve"> грамотності,  майстер-тренер Швейцарсько-українського </w:t>
      </w:r>
      <w:proofErr w:type="spellStart"/>
      <w:r w:rsidRPr="0084460B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84460B">
        <w:rPr>
          <w:rFonts w:eastAsia="Times New Roman"/>
          <w:sz w:val="24"/>
          <w:szCs w:val="24"/>
          <w:lang w:eastAsia="uk-UA"/>
        </w:rPr>
        <w:t xml:space="preserve"> DECIDE, тренер для навчання супервізорів у сфері загальної середньої освіти,  тренер з ефективного управління ЗЗСО.</w:t>
      </w:r>
    </w:p>
    <w:p w:rsidR="007021CE" w:rsidRPr="007021CE" w:rsidRDefault="007021CE" w:rsidP="002603BA">
      <w:pPr>
        <w:ind w:left="426"/>
        <w:jc w:val="left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Бєляєва Карина Юріївна, викладач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секції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кандидат педагогічних наук, практичний психолог КЗ "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Безлюдівський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юридичний ліцей імені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І.Я.Підкопая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Безлюдівської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</w:t>
      </w:r>
      <w:r w:rsidRPr="007021CE">
        <w:rPr>
          <w:rFonts w:eastAsia="Times New Roman"/>
          <w:color w:val="000000"/>
          <w:lang w:eastAsia="uk-UA"/>
        </w:rPr>
        <w:t> </w:t>
      </w: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Волкова Ірина Василівна, старший викладач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секції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відмінник освіти України, магістр з педагогіки вищої школи, тренер НУШ, супервізор в сфері загальної середньої освіти, майстер-тренер НУШ галузі фізичної культури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Вороніна Галина Леонідівна, доцент кафедри освітнього менеджменту та виховання, кандидат педагогічних наук,</w:t>
      </w:r>
      <w:r w:rsidRPr="007021CE">
        <w:rPr>
          <w:rFonts w:eastAsia="Times New Roman"/>
          <w:color w:val="000000"/>
          <w:lang w:eastAsia="uk-UA"/>
        </w:rPr>
        <w:t xml:space="preserve">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магістр з педагогіки вищої школи, тренер з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інфомедійної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грамотності, тренер НУШ,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 xml:space="preserve">координатор НУШ,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експерт з інституційного аудиту, тренер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проєкту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«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Ukrain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is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the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capital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of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great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</w:t>
      </w: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people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>”, супервізор в сфері загальної середньої освіти</w:t>
      </w: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7021CE">
        <w:rPr>
          <w:rFonts w:eastAsia="Times New Roman"/>
          <w:color w:val="000000"/>
          <w:sz w:val="22"/>
          <w:szCs w:val="22"/>
          <w:lang w:eastAsia="uk-UA"/>
        </w:rPr>
        <w:t>Воропаєв</w:t>
      </w:r>
      <w:proofErr w:type="spellEnd"/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Євгеній Павлович, викладач кафедри освітнього менеджменту та виховання, кандидат психологічних наук, </w:t>
      </w:r>
      <w:r w:rsidR="00A97E7A">
        <w:rPr>
          <w:rFonts w:eastAsia="Times New Roman"/>
          <w:color w:val="000000"/>
          <w:sz w:val="22"/>
          <w:szCs w:val="22"/>
          <w:lang w:eastAsia="uk-UA"/>
        </w:rPr>
        <w:t xml:space="preserve">доцент, 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член Спілки театральних діячів України</w:t>
      </w: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  <w:proofErr w:type="spellStart"/>
      <w:r w:rsidRPr="007021CE">
        <w:rPr>
          <w:rFonts w:eastAsia="Times New Roman"/>
          <w:sz w:val="24"/>
          <w:szCs w:val="24"/>
          <w:lang w:eastAsia="uk-UA"/>
        </w:rPr>
        <w:t>Замазій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</w:t>
      </w:r>
      <w:r w:rsidR="002603BA">
        <w:rPr>
          <w:rFonts w:eastAsia="Times New Roman"/>
          <w:sz w:val="24"/>
          <w:szCs w:val="24"/>
          <w:lang w:eastAsia="uk-UA"/>
        </w:rPr>
        <w:t>ц</w:t>
      </w:r>
      <w:r w:rsidRPr="007021CE">
        <w:rPr>
          <w:rFonts w:eastAsia="Times New Roman"/>
          <w:sz w:val="24"/>
          <w:szCs w:val="24"/>
          <w:lang w:eastAsia="uk-UA"/>
        </w:rPr>
        <w:t xml:space="preserve">ентром практичної психології, соціальної роботи та здорового способу життя, тренер-педагог НУШ, тренер програми “Рівний-рівному”, тренер за програмою “Психолого-педагогічна підтримка дітей, батьків та педагогів в умовах надзвичайної ситуації”,  тренер програми “СЕН “Зерна”: розвиток соціально-емоційних навичок та підтримки благополуччя  дітей і педагогів”, тренер швейцарсько-українського </w:t>
      </w:r>
      <w:proofErr w:type="spellStart"/>
      <w:r w:rsidRPr="007021CE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7021CE">
        <w:rPr>
          <w:rFonts w:eastAsia="Times New Roman"/>
          <w:sz w:val="24"/>
          <w:szCs w:val="24"/>
          <w:lang w:eastAsia="uk-UA"/>
        </w:rPr>
        <w:t xml:space="preserve"> DESIDE</w:t>
      </w:r>
    </w:p>
    <w:p w:rsid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84460B" w:rsidRPr="0084460B" w:rsidRDefault="0084460B" w:rsidP="0084460B">
      <w:pPr>
        <w:ind w:left="426"/>
        <w:rPr>
          <w:rFonts w:eastAsia="Times New Roman"/>
          <w:sz w:val="24"/>
          <w:szCs w:val="24"/>
          <w:lang w:eastAsia="uk-UA"/>
        </w:rPr>
      </w:pPr>
      <w:r w:rsidRPr="0084460B">
        <w:rPr>
          <w:rFonts w:eastAsia="Times New Roman"/>
          <w:sz w:val="24"/>
          <w:szCs w:val="24"/>
          <w:lang w:eastAsia="uk-UA"/>
        </w:rPr>
        <w:t xml:space="preserve">Колісник Олена Валентинівна, старший викладач секції культури здоров’я, психологічної </w:t>
      </w:r>
    </w:p>
    <w:p w:rsidR="0084460B" w:rsidRPr="0084460B" w:rsidRDefault="0084460B" w:rsidP="0084460B">
      <w:pPr>
        <w:ind w:left="426"/>
        <w:rPr>
          <w:rFonts w:eastAsia="Times New Roman"/>
          <w:sz w:val="24"/>
          <w:szCs w:val="24"/>
          <w:lang w:eastAsia="uk-UA"/>
        </w:rPr>
      </w:pPr>
      <w:r w:rsidRPr="0084460B">
        <w:rPr>
          <w:rFonts w:eastAsia="Times New Roman"/>
          <w:sz w:val="24"/>
          <w:szCs w:val="24"/>
          <w:lang w:eastAsia="uk-UA"/>
        </w:rPr>
        <w:t xml:space="preserve">та інклюзивної освіти, магістр педагогіки вищої школи, тренер з інклюзивної освіти, тренер НУШ, майстер-тренер Швейцарсько-українського </w:t>
      </w:r>
      <w:proofErr w:type="spellStart"/>
      <w:r w:rsidRPr="0084460B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84460B">
        <w:rPr>
          <w:rFonts w:eastAsia="Times New Roman"/>
          <w:sz w:val="24"/>
          <w:szCs w:val="24"/>
          <w:lang w:eastAsia="uk-UA"/>
        </w:rPr>
        <w:t xml:space="preserve"> DECIDE, супервізор в сфері інклюзивного навчання</w:t>
      </w:r>
    </w:p>
    <w:p w:rsidR="0084460B" w:rsidRPr="007021CE" w:rsidRDefault="0084460B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P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Луніна Вікторія Юріївна, доцент </w:t>
      </w:r>
      <w:r w:rsidR="00B91FBF" w:rsidRPr="00B91FBF">
        <w:rPr>
          <w:rFonts w:eastAsia="Times New Roman"/>
          <w:color w:val="000000"/>
          <w:sz w:val="22"/>
          <w:szCs w:val="22"/>
          <w:lang w:eastAsia="uk-UA"/>
        </w:rPr>
        <w:t xml:space="preserve">кафедри освітнього менеджменту та виховання 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(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секці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я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 xml:space="preserve"> культури здоров’я, психологічної та інклюзивної освіти</w:t>
      </w:r>
      <w:r w:rsidR="00B91FBF">
        <w:rPr>
          <w:rFonts w:eastAsia="Times New Roman"/>
          <w:color w:val="000000"/>
          <w:sz w:val="22"/>
          <w:szCs w:val="22"/>
          <w:lang w:eastAsia="uk-UA"/>
        </w:rPr>
        <w:t>)</w:t>
      </w:r>
      <w:r w:rsidRPr="007021CE">
        <w:rPr>
          <w:rFonts w:eastAsia="Times New Roman"/>
          <w:color w:val="000000"/>
          <w:sz w:val="22"/>
          <w:szCs w:val="22"/>
          <w:lang w:eastAsia="uk-UA"/>
        </w:rPr>
        <w:t>, кандидат педагогічних наук,  директор КЗ "Харківська обласна Мала академія наук Харківської обласної ради",  магістр педагогіки вищої школи</w:t>
      </w:r>
    </w:p>
    <w:p w:rsidR="007021CE" w:rsidRDefault="007021CE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84460B" w:rsidRDefault="0084460B" w:rsidP="002603BA">
      <w:pPr>
        <w:ind w:left="426"/>
        <w:rPr>
          <w:rFonts w:eastAsia="Times New Roman"/>
          <w:sz w:val="24"/>
          <w:szCs w:val="24"/>
          <w:lang w:eastAsia="uk-UA"/>
        </w:rPr>
      </w:pPr>
      <w:r w:rsidRPr="0084460B">
        <w:rPr>
          <w:rFonts w:eastAsia="Times New Roman"/>
          <w:sz w:val="24"/>
          <w:szCs w:val="24"/>
          <w:lang w:eastAsia="uk-UA"/>
        </w:rPr>
        <w:t>Носенко Володимир Вікторович, викладач кафедри освітнього менеджменту та виховання (секція культури здоров’я, психологічної та інклюзивної освіти), практичний психолог КЗ "</w:t>
      </w:r>
      <w:proofErr w:type="spellStart"/>
      <w:r w:rsidRPr="0084460B">
        <w:rPr>
          <w:rFonts w:eastAsia="Times New Roman"/>
          <w:sz w:val="24"/>
          <w:szCs w:val="24"/>
          <w:lang w:eastAsia="uk-UA"/>
        </w:rPr>
        <w:t>Бабаївський</w:t>
      </w:r>
      <w:proofErr w:type="spellEnd"/>
      <w:r w:rsidRPr="0084460B">
        <w:rPr>
          <w:rFonts w:eastAsia="Times New Roman"/>
          <w:sz w:val="24"/>
          <w:szCs w:val="24"/>
          <w:lang w:eastAsia="uk-UA"/>
        </w:rPr>
        <w:t xml:space="preserve"> ліцей Височанської селищної ради Харківського району Харківської області", магістр з педагогіки вищої школи, тренер </w:t>
      </w:r>
      <w:proofErr w:type="spellStart"/>
      <w:r w:rsidRPr="0084460B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84460B">
        <w:rPr>
          <w:rFonts w:eastAsia="Times New Roman"/>
          <w:sz w:val="24"/>
          <w:szCs w:val="24"/>
          <w:lang w:eastAsia="uk-UA"/>
        </w:rPr>
        <w:t xml:space="preserve"> протидії торгівлі людьми, тренер ГО Ла </w:t>
      </w:r>
      <w:proofErr w:type="spellStart"/>
      <w:r w:rsidRPr="0084460B">
        <w:rPr>
          <w:rFonts w:eastAsia="Times New Roman"/>
          <w:sz w:val="24"/>
          <w:szCs w:val="24"/>
          <w:lang w:eastAsia="uk-UA"/>
        </w:rPr>
        <w:t>Страда</w:t>
      </w:r>
      <w:proofErr w:type="spellEnd"/>
      <w:r w:rsidRPr="0084460B">
        <w:rPr>
          <w:rFonts w:eastAsia="Times New Roman"/>
          <w:sz w:val="24"/>
          <w:szCs w:val="24"/>
          <w:lang w:eastAsia="uk-UA"/>
        </w:rPr>
        <w:t>-Україна, тренер НУШ</w:t>
      </w:r>
    </w:p>
    <w:p w:rsidR="0084460B" w:rsidRPr="007021CE" w:rsidRDefault="0084460B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Павлова Ліна Володимирівна, викладач кафедри освітнього менеджменту та виховання, методист центру медіа та інформаційних технологій , тренер НУШ</w:t>
      </w:r>
    </w:p>
    <w:p w:rsidR="002603BA" w:rsidRDefault="002603BA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</w:p>
    <w:p w:rsidR="002603BA" w:rsidRDefault="002603BA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  <w:r w:rsidRPr="002603BA">
        <w:rPr>
          <w:color w:val="000000"/>
          <w:sz w:val="22"/>
          <w:szCs w:val="22"/>
          <w:lang w:eastAsia="uk-UA"/>
        </w:rPr>
        <w:t>Папернова Тетяна Валеріївна, старший викладач кафедра методики дошкільної та початкової освіти (секція НУШ), завідувач навчальним відділом, магістр, тренер НУШ</w:t>
      </w:r>
    </w:p>
    <w:p w:rsidR="00EC33A4" w:rsidRDefault="00EC33A4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B91FBF" w:rsidRDefault="00EC33A4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  <w:r w:rsidRPr="00EC33A4">
        <w:rPr>
          <w:color w:val="000000"/>
          <w:sz w:val="22"/>
          <w:szCs w:val="22"/>
          <w:lang w:eastAsia="uk-UA"/>
        </w:rPr>
        <w:t>Синиця Людмила Анатоліївна, викладач кафедри освітнього менеджменту та виховання (секція культури здоров’я, психологічної та інклюзивної освіти), магістр спеціальності «Дизайн», викладач вищої освіти, тренер НУШ, супервізор в сфері загальної середньої освіти</w:t>
      </w:r>
    </w:p>
    <w:p w:rsidR="00EC33A4" w:rsidRDefault="00EC33A4" w:rsidP="002603BA">
      <w:pPr>
        <w:ind w:left="426"/>
        <w:jc w:val="left"/>
        <w:rPr>
          <w:color w:val="000000"/>
          <w:sz w:val="22"/>
          <w:szCs w:val="22"/>
          <w:lang w:eastAsia="uk-UA"/>
        </w:rPr>
      </w:pPr>
    </w:p>
    <w:p w:rsidR="007021CE" w:rsidRDefault="007021CE" w:rsidP="002603BA">
      <w:pPr>
        <w:ind w:left="426"/>
        <w:rPr>
          <w:rFonts w:eastAsia="Times New Roman"/>
          <w:color w:val="000000"/>
          <w:sz w:val="22"/>
          <w:szCs w:val="22"/>
          <w:lang w:eastAsia="uk-UA"/>
        </w:rPr>
      </w:pPr>
      <w:r w:rsidRPr="007021CE">
        <w:rPr>
          <w:rFonts w:eastAsia="Times New Roman"/>
          <w:color w:val="000000"/>
          <w:sz w:val="22"/>
          <w:szCs w:val="22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B91FBF" w:rsidRPr="007021CE" w:rsidRDefault="00B91FBF" w:rsidP="002603BA">
      <w:pPr>
        <w:ind w:left="426"/>
        <w:rPr>
          <w:rFonts w:eastAsia="Times New Roman"/>
          <w:sz w:val="24"/>
          <w:szCs w:val="24"/>
          <w:lang w:eastAsia="uk-UA"/>
        </w:rPr>
      </w:pPr>
    </w:p>
    <w:p w:rsidR="00843260" w:rsidRDefault="00843260"/>
    <w:sectPr w:rsidR="0084326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4D"/>
    <w:rsid w:val="000711DB"/>
    <w:rsid w:val="00137885"/>
    <w:rsid w:val="00165862"/>
    <w:rsid w:val="002603BA"/>
    <w:rsid w:val="002636A6"/>
    <w:rsid w:val="002A5323"/>
    <w:rsid w:val="002B263A"/>
    <w:rsid w:val="00450937"/>
    <w:rsid w:val="00463C34"/>
    <w:rsid w:val="00475BD9"/>
    <w:rsid w:val="00506519"/>
    <w:rsid w:val="00521B0A"/>
    <w:rsid w:val="00534FAE"/>
    <w:rsid w:val="005D22E2"/>
    <w:rsid w:val="007021CE"/>
    <w:rsid w:val="00831DB3"/>
    <w:rsid w:val="008418F1"/>
    <w:rsid w:val="00843260"/>
    <w:rsid w:val="0084460B"/>
    <w:rsid w:val="009E36BC"/>
    <w:rsid w:val="00A47855"/>
    <w:rsid w:val="00A97E7A"/>
    <w:rsid w:val="00AD481F"/>
    <w:rsid w:val="00AE6414"/>
    <w:rsid w:val="00B849F6"/>
    <w:rsid w:val="00B91FBF"/>
    <w:rsid w:val="00D11937"/>
    <w:rsid w:val="00D363AD"/>
    <w:rsid w:val="00D8644D"/>
    <w:rsid w:val="00E0740C"/>
    <w:rsid w:val="00EC1F9E"/>
    <w:rsid w:val="00EC33A4"/>
    <w:rsid w:val="00ED4E96"/>
    <w:rsid w:val="00F416D5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AA57"/>
  <w15:docId w15:val="{4CD51A37-6A7A-4472-A1D1-FDEDA44B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4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93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19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8DD4-FABE-4BDA-93E0-F642E879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5124</Words>
  <Characters>2921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22</cp:revision>
  <cp:lastPrinted>2026-03-30T06:02:00Z</cp:lastPrinted>
  <dcterms:created xsi:type="dcterms:W3CDTF">2026-01-28T16:14:00Z</dcterms:created>
  <dcterms:modified xsi:type="dcterms:W3CDTF">2026-04-02T09:59:00Z</dcterms:modified>
</cp:coreProperties>
</file>