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3117B4">
        <w:rPr>
          <w:rFonts w:ascii="Times New Roman" w:hAnsi="Times New Roman" w:cs="Times New Roman"/>
          <w:b/>
          <w:sz w:val="24"/>
          <w:szCs w:val="24"/>
        </w:rPr>
        <w:t>спецкурсу підвищення кваліфікації практичних психологів закладів загальної середньої освіти</w:t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117B4">
        <w:rPr>
          <w:rFonts w:ascii="Times New Roman" w:hAnsi="Times New Roman" w:cs="Times New Roman"/>
          <w:b/>
          <w:sz w:val="24"/>
          <w:szCs w:val="24"/>
        </w:rPr>
        <w:t xml:space="preserve"> за темою 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«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психологічна підтримка учасників освітнього процесу в умовах реалізації 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стандарту базової середньої освіти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5D07D0" w:rsidRPr="003117B4" w:rsidRDefault="005D07D0" w:rsidP="00A6032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8254B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D412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D412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CD7C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D412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W w:w="10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660"/>
        <w:gridCol w:w="4905"/>
        <w:gridCol w:w="1245"/>
        <w:gridCol w:w="1230"/>
        <w:gridCol w:w="1846"/>
      </w:tblGrid>
      <w:tr w:rsidR="008254BC" w:rsidRPr="008254BC" w:rsidTr="00F34F69">
        <w:trPr>
          <w:trHeight w:val="1594"/>
        </w:trPr>
        <w:tc>
          <w:tcPr>
            <w:tcW w:w="780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60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4905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5" w:type="dxa"/>
            <w:vAlign w:val="center"/>
          </w:tcPr>
          <w:p w:rsidR="008254BC" w:rsidRPr="008254BC" w:rsidRDefault="008254BC" w:rsidP="00F34F6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частина:</w:t>
            </w:r>
          </w:p>
          <w:p w:rsidR="008254BC" w:rsidRPr="008254BC" w:rsidRDefault="008254BC" w:rsidP="00F34F6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лекція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теоретич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-ного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конструю-вання</w:t>
            </w:r>
            <w:proofErr w:type="spellEnd"/>
          </w:p>
        </w:tc>
        <w:tc>
          <w:tcPr>
            <w:tcW w:w="1230" w:type="dxa"/>
            <w:vAlign w:val="center"/>
          </w:tcPr>
          <w:p w:rsidR="008254BC" w:rsidRPr="008254BC" w:rsidRDefault="008254BC" w:rsidP="00F3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Практична частина :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-на лекція  / тренінгове заняття</w:t>
            </w:r>
          </w:p>
        </w:tc>
        <w:tc>
          <w:tcPr>
            <w:tcW w:w="1846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254BC" w:rsidRPr="008254BC" w:rsidTr="00F34F69">
        <w:tc>
          <w:tcPr>
            <w:tcW w:w="780" w:type="dxa"/>
            <w:vMerge w:val="restart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</w:t>
            </w:r>
            <w:r w:rsidR="00E93253">
              <w:rPr>
                <w:rFonts w:ascii="Times New Roman" w:eastAsia="Times New Roman" w:hAnsi="Times New Roman" w:cs="Times New Roman"/>
                <w:b/>
                <w:lang w:val="uk-UA"/>
              </w:rPr>
              <w:t>7</w:t>
            </w:r>
            <w:r w:rsidRPr="008254BC">
              <w:rPr>
                <w:rFonts w:ascii="Times New Roman" w:eastAsia="Times New Roman" w:hAnsi="Times New Roman" w:cs="Times New Roman"/>
                <w:b/>
              </w:rPr>
              <w:t>.11</w:t>
            </w:r>
          </w:p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</w:t>
            </w:r>
          </w:p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5" w:type="dxa"/>
          </w:tcPr>
          <w:p w:rsidR="008254BC" w:rsidRPr="008254BC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 Особливості організації навчання практичних психологів ЗЗСО</w:t>
            </w:r>
          </w:p>
        </w:tc>
        <w:tc>
          <w:tcPr>
            <w:tcW w:w="1245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Н.А.,</w:t>
            </w:r>
          </w:p>
          <w:p w:rsidR="008254BC" w:rsidRPr="008254BC" w:rsidRDefault="008254BC" w:rsidP="00F34F69">
            <w:pPr>
              <w:widowControl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E93253" w:rsidRPr="008254BC" w:rsidTr="00F34F69">
        <w:tc>
          <w:tcPr>
            <w:tcW w:w="780" w:type="dxa"/>
            <w:vMerge/>
            <w:vAlign w:val="center"/>
          </w:tcPr>
          <w:p w:rsidR="00E93253" w:rsidRPr="008254BC" w:rsidRDefault="00E93253" w:rsidP="00E93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E93253" w:rsidRPr="008254BC" w:rsidRDefault="00E93253" w:rsidP="00E9325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17.50-</w:t>
            </w:r>
          </w:p>
          <w:p w:rsidR="00E93253" w:rsidRPr="008254BC" w:rsidRDefault="00E93253" w:rsidP="00E9325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18.35</w:t>
            </w:r>
          </w:p>
        </w:tc>
        <w:tc>
          <w:tcPr>
            <w:tcW w:w="4905" w:type="dxa"/>
          </w:tcPr>
          <w:p w:rsidR="00E93253" w:rsidRPr="008254BC" w:rsidRDefault="00E93253" w:rsidP="00E93253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>1.3. Безпечний освітній простір як чинник забезпечення якості освіти в НУШ. Модель «</w:t>
            </w:r>
            <w:proofErr w:type="spellStart"/>
            <w:r w:rsidRPr="008254BC">
              <w:rPr>
                <w:color w:val="000000"/>
              </w:rPr>
              <w:t>зцілюючих</w:t>
            </w:r>
            <w:proofErr w:type="spellEnd"/>
            <w:r w:rsidRPr="008254BC">
              <w:rPr>
                <w:color w:val="000000"/>
              </w:rPr>
              <w:t xml:space="preserve"> класів» </w:t>
            </w:r>
          </w:p>
        </w:tc>
        <w:tc>
          <w:tcPr>
            <w:tcW w:w="1245" w:type="dxa"/>
          </w:tcPr>
          <w:p w:rsidR="00E93253" w:rsidRPr="008254BC" w:rsidRDefault="00E93253" w:rsidP="00E93253"/>
        </w:tc>
        <w:tc>
          <w:tcPr>
            <w:tcW w:w="1230" w:type="dxa"/>
          </w:tcPr>
          <w:p w:rsidR="00E93253" w:rsidRPr="008254BC" w:rsidRDefault="00E93253" w:rsidP="00E93253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</w:tcPr>
          <w:p w:rsidR="00E93253" w:rsidRPr="008254BC" w:rsidRDefault="00E93253" w:rsidP="00E93253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Носенко В.В.</w:t>
            </w:r>
          </w:p>
          <w:p w:rsidR="00E93253" w:rsidRPr="008254BC" w:rsidRDefault="00E93253" w:rsidP="00E93253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E93253" w:rsidRPr="008254BC" w:rsidTr="00F34F69">
        <w:tc>
          <w:tcPr>
            <w:tcW w:w="780" w:type="dxa"/>
            <w:vMerge/>
            <w:vAlign w:val="center"/>
          </w:tcPr>
          <w:p w:rsidR="00E93253" w:rsidRPr="008254BC" w:rsidRDefault="00E93253" w:rsidP="00E93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:rsidR="00E93253" w:rsidRPr="008254BC" w:rsidRDefault="00E93253" w:rsidP="00E9325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18.45-19.30</w:t>
            </w:r>
          </w:p>
        </w:tc>
        <w:tc>
          <w:tcPr>
            <w:tcW w:w="4905" w:type="dxa"/>
          </w:tcPr>
          <w:p w:rsidR="00E93253" w:rsidRPr="008254BC" w:rsidRDefault="00E93253" w:rsidP="00E93253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3.4. Психолого-педагогічна підтримка учнів та їх родин, постраждалих від наслідків війни: сучасні підходи, виклики та практики супроводу</w:t>
            </w:r>
          </w:p>
        </w:tc>
        <w:tc>
          <w:tcPr>
            <w:tcW w:w="1245" w:type="dxa"/>
          </w:tcPr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E93253" w:rsidRPr="008254BC" w:rsidRDefault="00E93253" w:rsidP="00E932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Бандура В.В.</w:t>
            </w:r>
          </w:p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E93253" w:rsidRPr="008254BC" w:rsidTr="00F34F69">
        <w:tc>
          <w:tcPr>
            <w:tcW w:w="780" w:type="dxa"/>
            <w:vMerge w:val="restart"/>
            <w:vAlign w:val="center"/>
          </w:tcPr>
          <w:p w:rsidR="00E93253" w:rsidRPr="008254BC" w:rsidRDefault="00E93253" w:rsidP="00E93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.11</w:t>
            </w:r>
          </w:p>
          <w:p w:rsidR="00E93253" w:rsidRPr="008254BC" w:rsidRDefault="00E93253" w:rsidP="00E93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60" w:type="dxa"/>
          </w:tcPr>
          <w:p w:rsidR="00E93253" w:rsidRPr="00E93253" w:rsidRDefault="00E93253" w:rsidP="00E9325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17.00-17.45</w:t>
            </w:r>
          </w:p>
        </w:tc>
        <w:tc>
          <w:tcPr>
            <w:tcW w:w="4905" w:type="dxa"/>
          </w:tcPr>
          <w:p w:rsidR="00E93253" w:rsidRPr="008254BC" w:rsidRDefault="00E93253" w:rsidP="00E93253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1245" w:type="dxa"/>
          </w:tcPr>
          <w:p w:rsidR="00E93253" w:rsidRPr="008254BC" w:rsidRDefault="00E93253" w:rsidP="00E9325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230" w:type="dxa"/>
          </w:tcPr>
          <w:p w:rsidR="00E93253" w:rsidRPr="008254BC" w:rsidRDefault="00E93253" w:rsidP="00E9325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6" w:type="dxa"/>
          </w:tcPr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Бєляєва К.Ю.</w:t>
            </w:r>
          </w:p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</w:tr>
      <w:tr w:rsidR="00E93253" w:rsidRPr="008254BC" w:rsidTr="00F34F69">
        <w:tc>
          <w:tcPr>
            <w:tcW w:w="780" w:type="dxa"/>
            <w:vMerge/>
            <w:vAlign w:val="center"/>
          </w:tcPr>
          <w:p w:rsidR="00E93253" w:rsidRPr="008254BC" w:rsidRDefault="00E93253" w:rsidP="00E93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:rsidR="00E93253" w:rsidRPr="00E93253" w:rsidRDefault="00E93253" w:rsidP="00E9325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5" w:type="dxa"/>
          </w:tcPr>
          <w:p w:rsidR="00E93253" w:rsidRPr="008254BC" w:rsidRDefault="00E93253" w:rsidP="00E93253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Формування в учнів 7-9 класів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побудови освітньо-професійної траєкторії</w:t>
            </w:r>
          </w:p>
        </w:tc>
        <w:tc>
          <w:tcPr>
            <w:tcW w:w="1245" w:type="dxa"/>
          </w:tcPr>
          <w:p w:rsidR="00E93253" w:rsidRPr="008254BC" w:rsidRDefault="00E93253" w:rsidP="00E9325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30" w:type="dxa"/>
          </w:tcPr>
          <w:p w:rsidR="00E93253" w:rsidRPr="008254BC" w:rsidRDefault="00E93253" w:rsidP="00E932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Бєляєва К.Ю.</w:t>
            </w:r>
          </w:p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E93253" w:rsidRPr="008254BC" w:rsidTr="00F34F69">
        <w:tc>
          <w:tcPr>
            <w:tcW w:w="780" w:type="dxa"/>
            <w:vMerge/>
            <w:vAlign w:val="center"/>
          </w:tcPr>
          <w:p w:rsidR="00E93253" w:rsidRPr="008254BC" w:rsidRDefault="00E93253" w:rsidP="00E93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0" w:type="dxa"/>
          </w:tcPr>
          <w:p w:rsidR="00E93253" w:rsidRPr="008254BC" w:rsidRDefault="00E93253" w:rsidP="00E9325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5" w:type="dxa"/>
          </w:tcPr>
          <w:p w:rsidR="00E93253" w:rsidRPr="008254BC" w:rsidRDefault="00E93253" w:rsidP="00E93253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1.2. Психологічний супровід надолуження освітніх втрат. Діяльність практичного психолога щодо подолання освітніх втрат в основній школі</w:t>
            </w:r>
          </w:p>
        </w:tc>
        <w:tc>
          <w:tcPr>
            <w:tcW w:w="1245" w:type="dxa"/>
          </w:tcPr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E93253" w:rsidRPr="008254BC" w:rsidRDefault="00E93253" w:rsidP="00E9325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Н.А.</w:t>
            </w:r>
          </w:p>
          <w:p w:rsidR="00E93253" w:rsidRPr="008254BC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36F86" w:rsidRPr="008254BC" w:rsidTr="00936F86">
        <w:trPr>
          <w:trHeight w:val="632"/>
        </w:trPr>
        <w:tc>
          <w:tcPr>
            <w:tcW w:w="780" w:type="dxa"/>
            <w:vMerge w:val="restart"/>
            <w:vAlign w:val="center"/>
          </w:tcPr>
          <w:p w:rsidR="00936F86" w:rsidRPr="008254BC" w:rsidRDefault="00936F86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</w:t>
            </w:r>
            <w:r w:rsidRPr="008254BC">
              <w:rPr>
                <w:rFonts w:ascii="Times New Roman" w:eastAsia="Times New Roman" w:hAnsi="Times New Roman" w:cs="Times New Roman"/>
                <w:b/>
              </w:rPr>
              <w:t>.11</w:t>
            </w:r>
          </w:p>
          <w:p w:rsidR="00936F86" w:rsidRPr="008254BC" w:rsidRDefault="00936F86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936F86" w:rsidRPr="008254BC" w:rsidRDefault="00936F86" w:rsidP="00936F8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936F86" w:rsidRPr="008254BC" w:rsidRDefault="00936F86" w:rsidP="00936F86">
            <w:pPr>
              <w:pStyle w:val="aa"/>
              <w:spacing w:before="0" w:after="0"/>
              <w:ind w:left="57" w:right="57"/>
            </w:pPr>
            <w:r w:rsidRPr="008254BC">
              <w:rPr>
                <w:color w:val="000000"/>
              </w:rPr>
              <w:t xml:space="preserve">2.3. </w:t>
            </w:r>
            <w:proofErr w:type="spellStart"/>
            <w:r w:rsidRPr="008254BC">
              <w:rPr>
                <w:color w:val="000000"/>
              </w:rPr>
              <w:t>Супервізія</w:t>
            </w:r>
            <w:proofErr w:type="spellEnd"/>
            <w:r w:rsidRPr="008254BC">
              <w:rPr>
                <w:color w:val="000000"/>
              </w:rPr>
              <w:t xml:space="preserve"> та </w:t>
            </w:r>
            <w:proofErr w:type="spellStart"/>
            <w:r w:rsidRPr="008254BC">
              <w:rPr>
                <w:color w:val="000000"/>
              </w:rPr>
              <w:t>інтервізія</w:t>
            </w:r>
            <w:proofErr w:type="spellEnd"/>
            <w:r w:rsidRPr="008254BC">
              <w:rPr>
                <w:color w:val="000000"/>
              </w:rPr>
              <w:t xml:space="preserve"> як інструменти професійної підтримки й розвитку педагога</w:t>
            </w:r>
          </w:p>
        </w:tc>
        <w:tc>
          <w:tcPr>
            <w:tcW w:w="1245" w:type="dxa"/>
          </w:tcPr>
          <w:p w:rsidR="00936F86" w:rsidRPr="008254BC" w:rsidRDefault="00936F86" w:rsidP="00F34F69"/>
        </w:tc>
        <w:tc>
          <w:tcPr>
            <w:tcW w:w="1230" w:type="dxa"/>
          </w:tcPr>
          <w:p w:rsidR="00936F86" w:rsidRPr="008254BC" w:rsidRDefault="00936F86" w:rsidP="00936F86">
            <w:pPr>
              <w:pStyle w:val="aa"/>
              <w:spacing w:before="0" w:after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</w:tcPr>
          <w:p w:rsidR="00936F86" w:rsidRPr="008254BC" w:rsidRDefault="00936F86" w:rsidP="00936F86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Носенко В.В.</w:t>
            </w:r>
            <w:r>
              <w:rPr>
                <w:color w:val="000000"/>
              </w:rPr>
              <w:t xml:space="preserve"> </w:t>
            </w:r>
            <w:r w:rsidRPr="008254BC">
              <w:rPr>
                <w:color w:val="000000"/>
              </w:rPr>
              <w:t>тренер</w:t>
            </w:r>
          </w:p>
        </w:tc>
      </w:tr>
      <w:tr w:rsidR="00936F86" w:rsidRPr="008254BC" w:rsidTr="00F34F69">
        <w:trPr>
          <w:trHeight w:val="405"/>
        </w:trPr>
        <w:tc>
          <w:tcPr>
            <w:tcW w:w="780" w:type="dxa"/>
            <w:vMerge/>
            <w:vAlign w:val="center"/>
          </w:tcPr>
          <w:p w:rsidR="00936F86" w:rsidRPr="008254BC" w:rsidRDefault="00936F86" w:rsidP="00936F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936F86" w:rsidRPr="008254BC" w:rsidRDefault="00936F86" w:rsidP="00936F8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936F86" w:rsidRPr="008254BC" w:rsidRDefault="00936F86" w:rsidP="00936F86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>2.4. 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1245" w:type="dxa"/>
          </w:tcPr>
          <w:p w:rsidR="00936F86" w:rsidRPr="008254BC" w:rsidRDefault="00936F86" w:rsidP="00936F86"/>
        </w:tc>
        <w:tc>
          <w:tcPr>
            <w:tcW w:w="1230" w:type="dxa"/>
          </w:tcPr>
          <w:p w:rsidR="00936F86" w:rsidRPr="008254BC" w:rsidRDefault="00936F86" w:rsidP="00936F86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</w:tcPr>
          <w:p w:rsidR="00936F86" w:rsidRPr="008254BC" w:rsidRDefault="00936F86" w:rsidP="00936F86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Носенко В.В.</w:t>
            </w:r>
          </w:p>
          <w:p w:rsidR="00936F86" w:rsidRPr="008254BC" w:rsidRDefault="00936F86" w:rsidP="00936F86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936F86" w:rsidRPr="008254BC" w:rsidTr="00F34F69">
        <w:trPr>
          <w:trHeight w:val="405"/>
        </w:trPr>
        <w:tc>
          <w:tcPr>
            <w:tcW w:w="780" w:type="dxa"/>
            <w:vMerge/>
            <w:vAlign w:val="center"/>
          </w:tcPr>
          <w:p w:rsidR="00936F86" w:rsidRPr="008254BC" w:rsidRDefault="00936F86" w:rsidP="009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:rsidR="00936F86" w:rsidRPr="00936F86" w:rsidRDefault="00936F86" w:rsidP="00936F8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905" w:type="dxa"/>
          </w:tcPr>
          <w:p w:rsidR="00936F86" w:rsidRPr="008254BC" w:rsidRDefault="00936F86" w:rsidP="00936F86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 xml:space="preserve">3.3. Комплексна психопрофілактична робота з підлітками: запобігання </w:t>
            </w:r>
            <w:proofErr w:type="spellStart"/>
            <w:r w:rsidRPr="008254BC">
              <w:rPr>
                <w:color w:val="000000"/>
              </w:rPr>
              <w:t>булінгу</w:t>
            </w:r>
            <w:proofErr w:type="spellEnd"/>
            <w:r w:rsidRPr="008254BC">
              <w:rPr>
                <w:color w:val="000000"/>
              </w:rPr>
              <w:t xml:space="preserve">, </w:t>
            </w:r>
            <w:proofErr w:type="spellStart"/>
            <w:r w:rsidRPr="008254BC">
              <w:rPr>
                <w:color w:val="000000"/>
              </w:rPr>
              <w:t>кібербулінгу</w:t>
            </w:r>
            <w:proofErr w:type="spellEnd"/>
            <w:r w:rsidRPr="008254BC">
              <w:rPr>
                <w:color w:val="000000"/>
              </w:rPr>
              <w:t xml:space="preserve">, насильству в онлайн- та </w:t>
            </w:r>
            <w:proofErr w:type="spellStart"/>
            <w:r w:rsidRPr="008254BC">
              <w:rPr>
                <w:color w:val="000000"/>
              </w:rPr>
              <w:t>офлайн</w:t>
            </w:r>
            <w:proofErr w:type="spellEnd"/>
            <w:r w:rsidRPr="008254BC">
              <w:rPr>
                <w:color w:val="000000"/>
              </w:rPr>
              <w:t xml:space="preserve">-просторі, </w:t>
            </w:r>
            <w:proofErr w:type="spellStart"/>
            <w:r w:rsidRPr="008254BC">
              <w:rPr>
                <w:color w:val="000000"/>
              </w:rPr>
              <w:t>медіаграмотність</w:t>
            </w:r>
            <w:proofErr w:type="spellEnd"/>
            <w:r w:rsidRPr="008254BC">
              <w:rPr>
                <w:color w:val="000000"/>
              </w:rPr>
              <w:t xml:space="preserve"> і цифрова безпека</w:t>
            </w:r>
          </w:p>
        </w:tc>
        <w:tc>
          <w:tcPr>
            <w:tcW w:w="1245" w:type="dxa"/>
          </w:tcPr>
          <w:p w:rsidR="00936F86" w:rsidRPr="008254BC" w:rsidRDefault="00936F86" w:rsidP="00936F86"/>
        </w:tc>
        <w:tc>
          <w:tcPr>
            <w:tcW w:w="1230" w:type="dxa"/>
          </w:tcPr>
          <w:p w:rsidR="00936F86" w:rsidRPr="008254BC" w:rsidRDefault="00936F86" w:rsidP="00936F86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6" w:type="dxa"/>
          </w:tcPr>
          <w:p w:rsidR="00936F86" w:rsidRPr="008254BC" w:rsidRDefault="00936F86" w:rsidP="00936F86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Носенко В.В.</w:t>
            </w:r>
          </w:p>
          <w:p w:rsidR="00936F86" w:rsidRPr="008254BC" w:rsidRDefault="00936F86" w:rsidP="00936F86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936F86" w:rsidRPr="008254BC" w:rsidTr="00F34F69">
        <w:trPr>
          <w:trHeight w:val="405"/>
        </w:trPr>
        <w:tc>
          <w:tcPr>
            <w:tcW w:w="780" w:type="dxa"/>
            <w:vMerge w:val="restart"/>
            <w:vAlign w:val="center"/>
          </w:tcPr>
          <w:p w:rsidR="00936F86" w:rsidRPr="008254BC" w:rsidRDefault="00936F86" w:rsidP="009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.11</w:t>
            </w:r>
          </w:p>
          <w:p w:rsidR="00936F86" w:rsidRPr="008254BC" w:rsidRDefault="00936F86" w:rsidP="009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60" w:type="dxa"/>
          </w:tcPr>
          <w:p w:rsidR="00936F86" w:rsidRPr="008254BC" w:rsidRDefault="00936F86" w:rsidP="00936F8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936F86" w:rsidRPr="008254BC" w:rsidRDefault="00936F86" w:rsidP="00936F8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1.1. Нормативно-правове забезпечення роботи практичного психолога в умовах реалізації Концепції НУШ</w:t>
            </w:r>
          </w:p>
        </w:tc>
        <w:tc>
          <w:tcPr>
            <w:tcW w:w="1245" w:type="dxa"/>
          </w:tcPr>
          <w:p w:rsidR="00936F86" w:rsidRPr="008254BC" w:rsidRDefault="00936F86" w:rsidP="00936F8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0" w:type="dxa"/>
          </w:tcPr>
          <w:p w:rsidR="00936F86" w:rsidRPr="008254BC" w:rsidRDefault="00936F86" w:rsidP="00936F8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:rsidR="00936F86" w:rsidRPr="008254BC" w:rsidRDefault="00936F86" w:rsidP="00936F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Замазій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  <w:p w:rsidR="00936F86" w:rsidRPr="008254BC" w:rsidRDefault="00936F86" w:rsidP="00936F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936F86" w:rsidRPr="008254BC" w:rsidTr="00F34F69">
        <w:trPr>
          <w:trHeight w:val="405"/>
        </w:trPr>
        <w:tc>
          <w:tcPr>
            <w:tcW w:w="780" w:type="dxa"/>
            <w:vMerge/>
            <w:vAlign w:val="center"/>
          </w:tcPr>
          <w:p w:rsidR="00936F86" w:rsidRPr="008254BC" w:rsidRDefault="00936F86" w:rsidP="009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</w:tcPr>
          <w:p w:rsidR="00936F86" w:rsidRPr="008254BC" w:rsidRDefault="00936F86" w:rsidP="00936F8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936F86" w:rsidRPr="008254BC" w:rsidRDefault="00936F86" w:rsidP="00936F8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2.1. Формування психологічної готовності педагогів до змін</w:t>
            </w:r>
          </w:p>
        </w:tc>
        <w:tc>
          <w:tcPr>
            <w:tcW w:w="1245" w:type="dxa"/>
          </w:tcPr>
          <w:p w:rsidR="00936F86" w:rsidRPr="008254BC" w:rsidRDefault="00936F86" w:rsidP="00936F8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0" w:type="dxa"/>
          </w:tcPr>
          <w:p w:rsidR="00936F86" w:rsidRPr="008254BC" w:rsidRDefault="00936F86" w:rsidP="00936F8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:rsidR="00936F86" w:rsidRPr="008254BC" w:rsidRDefault="00936F86" w:rsidP="00936F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Н.А.</w:t>
            </w:r>
          </w:p>
          <w:p w:rsidR="00936F86" w:rsidRPr="008254BC" w:rsidRDefault="00936F86" w:rsidP="00936F8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B93E38" w:rsidRPr="008254BC" w:rsidTr="00B93E38">
        <w:trPr>
          <w:trHeight w:val="684"/>
        </w:trPr>
        <w:tc>
          <w:tcPr>
            <w:tcW w:w="780" w:type="dxa"/>
            <w:vAlign w:val="center"/>
          </w:tcPr>
          <w:p w:rsidR="00B93E38" w:rsidRPr="008254BC" w:rsidRDefault="00B93E38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21</w:t>
            </w:r>
            <w:r w:rsidRPr="008254BC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B93E38" w:rsidRPr="008254BC" w:rsidRDefault="00B93E38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B93E38" w:rsidRPr="008254BC" w:rsidRDefault="00B93E38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B93E38" w:rsidRPr="008254BC" w:rsidRDefault="00B93E38" w:rsidP="00F34F69">
            <w:pPr>
              <w:ind w:left="57" w:right="57"/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Попередження професійного вигорання та укріплення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резилієнтності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педагогів </w:t>
            </w:r>
          </w:p>
        </w:tc>
        <w:tc>
          <w:tcPr>
            <w:tcW w:w="1245" w:type="dxa"/>
          </w:tcPr>
          <w:p w:rsidR="00B93E38" w:rsidRPr="008254BC" w:rsidRDefault="00B93E38" w:rsidP="00F34F69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1230" w:type="dxa"/>
          </w:tcPr>
          <w:p w:rsidR="00B93E38" w:rsidRPr="008254BC" w:rsidRDefault="00B93E38" w:rsidP="00F34F69">
            <w:pPr>
              <w:widowControl w:val="0"/>
              <w:jc w:val="center"/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B93E38" w:rsidRPr="008254BC" w:rsidRDefault="00B93E38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Замазій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  <w:p w:rsidR="00B93E38" w:rsidRPr="008254BC" w:rsidRDefault="00B93E38" w:rsidP="00F34F69">
            <w:pPr>
              <w:widowControl w:val="0"/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3241B4" w:rsidRPr="008254BC" w:rsidTr="00B93E38">
        <w:trPr>
          <w:trHeight w:val="684"/>
        </w:trPr>
        <w:tc>
          <w:tcPr>
            <w:tcW w:w="780" w:type="dxa"/>
            <w:vMerge w:val="restart"/>
            <w:vAlign w:val="center"/>
          </w:tcPr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22</w:t>
            </w:r>
            <w:r w:rsidRPr="008254BC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3241B4" w:rsidRPr="00B93E38" w:rsidRDefault="003241B4" w:rsidP="00B93E38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09.00-09.45</w:t>
            </w:r>
          </w:p>
        </w:tc>
        <w:tc>
          <w:tcPr>
            <w:tcW w:w="4905" w:type="dxa"/>
          </w:tcPr>
          <w:p w:rsidR="003241B4" w:rsidRPr="008254BC" w:rsidRDefault="003241B4" w:rsidP="00B93E38">
            <w:pPr>
              <w:pStyle w:val="aa"/>
              <w:spacing w:before="0" w:beforeAutospacing="0" w:after="0" w:afterAutospacing="0"/>
              <w:ind w:left="57" w:right="57"/>
            </w:pPr>
            <w:r w:rsidRPr="008254BC">
              <w:rPr>
                <w:color w:val="000000"/>
              </w:rPr>
              <w:t>3.1. Індивідуально</w:t>
            </w:r>
            <w:r w:rsidRPr="008254BC">
              <w:rPr>
                <w:i/>
                <w:iCs/>
                <w:color w:val="000000"/>
              </w:rPr>
              <w:t>-</w:t>
            </w:r>
            <w:r w:rsidRPr="008254BC">
              <w:rPr>
                <w:color w:val="000000"/>
              </w:rPr>
              <w:t>психологічні і вікові особливості учнів 7-9 класів. Методи підвищення навчальної мотивації</w:t>
            </w:r>
          </w:p>
        </w:tc>
        <w:tc>
          <w:tcPr>
            <w:tcW w:w="1245" w:type="dxa"/>
          </w:tcPr>
          <w:p w:rsidR="003241B4" w:rsidRPr="008254BC" w:rsidRDefault="003241B4" w:rsidP="00B93E38">
            <w:pPr>
              <w:pStyle w:val="aa"/>
              <w:spacing w:before="0" w:beforeAutospacing="0" w:after="0" w:afterAutospacing="0"/>
              <w:jc w:val="center"/>
            </w:pPr>
            <w:r w:rsidRPr="008254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30" w:type="dxa"/>
          </w:tcPr>
          <w:p w:rsidR="003241B4" w:rsidRPr="008254BC" w:rsidRDefault="003241B4" w:rsidP="00B93E38"/>
        </w:tc>
        <w:tc>
          <w:tcPr>
            <w:tcW w:w="1846" w:type="dxa"/>
          </w:tcPr>
          <w:p w:rsidR="003241B4" w:rsidRPr="008254BC" w:rsidRDefault="003241B4" w:rsidP="00B93E38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Бойко Н.А.</w:t>
            </w:r>
          </w:p>
          <w:p w:rsidR="003241B4" w:rsidRPr="008254BC" w:rsidRDefault="003241B4" w:rsidP="00B93E38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3241B4" w:rsidRPr="008254BC" w:rsidTr="00F34F69">
        <w:trPr>
          <w:trHeight w:val="352"/>
        </w:trPr>
        <w:tc>
          <w:tcPr>
            <w:tcW w:w="780" w:type="dxa"/>
            <w:vMerge/>
            <w:vAlign w:val="center"/>
          </w:tcPr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3241B4" w:rsidRPr="008254BC" w:rsidRDefault="003241B4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905" w:type="dxa"/>
          </w:tcPr>
          <w:p w:rsidR="003241B4" w:rsidRPr="008254BC" w:rsidRDefault="003241B4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sz w:val="24"/>
                <w:szCs w:val="24"/>
              </w:rPr>
              <w:t>4.2. Підсумкове тестування. Рефлексія</w:t>
            </w:r>
          </w:p>
        </w:tc>
        <w:tc>
          <w:tcPr>
            <w:tcW w:w="1245" w:type="dxa"/>
          </w:tcPr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30" w:type="dxa"/>
          </w:tcPr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3241B4" w:rsidRPr="008254BC" w:rsidRDefault="003241B4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Бойко Н.А.</w:t>
            </w:r>
          </w:p>
          <w:p w:rsidR="003241B4" w:rsidRPr="008254BC" w:rsidRDefault="003241B4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3241B4" w:rsidRPr="008254BC" w:rsidTr="00F34F69">
        <w:tc>
          <w:tcPr>
            <w:tcW w:w="780" w:type="dxa"/>
            <w:vMerge/>
            <w:vAlign w:val="center"/>
          </w:tcPr>
          <w:p w:rsidR="003241B4" w:rsidRPr="008254BC" w:rsidRDefault="003241B4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3241B4" w:rsidRPr="008254BC" w:rsidRDefault="003241B4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3241B4" w:rsidRPr="008254BC" w:rsidRDefault="003241B4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  <w:bookmarkStart w:id="1" w:name="_GoBack"/>
            <w:bookmarkEnd w:id="1"/>
            <w:r w:rsidRPr="0082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Підсумкове тестування. Рефлексія</w:t>
            </w:r>
          </w:p>
        </w:tc>
        <w:tc>
          <w:tcPr>
            <w:tcW w:w="1245" w:type="dxa"/>
          </w:tcPr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30" w:type="dxa"/>
          </w:tcPr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254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6" w:type="dxa"/>
          </w:tcPr>
          <w:p w:rsidR="003241B4" w:rsidRPr="008254BC" w:rsidRDefault="003241B4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Бойко Н.А.</w:t>
            </w:r>
          </w:p>
          <w:p w:rsidR="003241B4" w:rsidRPr="008254BC" w:rsidRDefault="003241B4" w:rsidP="00F34F69">
            <w:pPr>
              <w:pStyle w:val="aa"/>
              <w:spacing w:before="0" w:beforeAutospacing="0" w:after="0" w:afterAutospacing="0"/>
            </w:pPr>
            <w:r w:rsidRPr="008254BC">
              <w:rPr>
                <w:color w:val="000000"/>
              </w:rPr>
              <w:t>тренер</w:t>
            </w:r>
          </w:p>
        </w:tc>
      </w:tr>
      <w:tr w:rsidR="003241B4" w:rsidRPr="008254BC" w:rsidTr="00F34F69">
        <w:tc>
          <w:tcPr>
            <w:tcW w:w="780" w:type="dxa"/>
            <w:vMerge/>
            <w:vAlign w:val="center"/>
          </w:tcPr>
          <w:p w:rsidR="003241B4" w:rsidRPr="008254BC" w:rsidRDefault="003241B4" w:rsidP="00F3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3241B4" w:rsidRPr="008254BC" w:rsidRDefault="003241B4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5" w:type="dxa"/>
          </w:tcPr>
          <w:p w:rsidR="003241B4" w:rsidRPr="008254BC" w:rsidRDefault="003241B4" w:rsidP="00F34F69">
            <w:pPr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5" w:type="dxa"/>
          </w:tcPr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</w:tcPr>
          <w:p w:rsidR="003241B4" w:rsidRPr="008254BC" w:rsidRDefault="003241B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846" w:type="dxa"/>
          </w:tcPr>
          <w:p w:rsidR="003241B4" w:rsidRPr="008254BC" w:rsidRDefault="003241B4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4BC" w:rsidTr="00F34F69">
        <w:tc>
          <w:tcPr>
            <w:tcW w:w="780" w:type="dxa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5" w:type="dxa"/>
          </w:tcPr>
          <w:p w:rsidR="008254BC" w:rsidRPr="008254BC" w:rsidRDefault="008254BC" w:rsidP="00F34F6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Разом:</w:t>
            </w:r>
          </w:p>
        </w:tc>
        <w:tc>
          <w:tcPr>
            <w:tcW w:w="1245" w:type="dxa"/>
          </w:tcPr>
          <w:p w:rsid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230" w:type="dxa"/>
          </w:tcPr>
          <w:p w:rsid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8254BC" w:rsidRDefault="008254BC" w:rsidP="00F34F6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whwml4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92E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Бойко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Візи: </w:t>
      </w:r>
    </w:p>
    <w:p w:rsidR="00B32323" w:rsidRP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Тетяна ПАПЕРНОВА</w:t>
      </w:r>
    </w:p>
    <w:sectPr w:rsidR="00B32323" w:rsidRPr="00D62292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D0"/>
    <w:rsid w:val="00002C60"/>
    <w:rsid w:val="00084635"/>
    <w:rsid w:val="000B2712"/>
    <w:rsid w:val="000D3803"/>
    <w:rsid w:val="001107C8"/>
    <w:rsid w:val="00134EED"/>
    <w:rsid w:val="00136C21"/>
    <w:rsid w:val="00172D0C"/>
    <w:rsid w:val="00174B80"/>
    <w:rsid w:val="00185142"/>
    <w:rsid w:val="001D45C7"/>
    <w:rsid w:val="002024CF"/>
    <w:rsid w:val="002030FD"/>
    <w:rsid w:val="002A39A7"/>
    <w:rsid w:val="002F0856"/>
    <w:rsid w:val="00306693"/>
    <w:rsid w:val="003117B4"/>
    <w:rsid w:val="003241B4"/>
    <w:rsid w:val="003944F6"/>
    <w:rsid w:val="003A1FC4"/>
    <w:rsid w:val="004553FD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D456E"/>
    <w:rsid w:val="006F738E"/>
    <w:rsid w:val="007767D0"/>
    <w:rsid w:val="00794B31"/>
    <w:rsid w:val="007B6E83"/>
    <w:rsid w:val="007E3F19"/>
    <w:rsid w:val="007F038D"/>
    <w:rsid w:val="007F0DFA"/>
    <w:rsid w:val="008254BC"/>
    <w:rsid w:val="00831E01"/>
    <w:rsid w:val="00855ED2"/>
    <w:rsid w:val="00863C6D"/>
    <w:rsid w:val="00936F86"/>
    <w:rsid w:val="00941DFA"/>
    <w:rsid w:val="00955769"/>
    <w:rsid w:val="0096246B"/>
    <w:rsid w:val="00972F52"/>
    <w:rsid w:val="00997CC2"/>
    <w:rsid w:val="00A203C4"/>
    <w:rsid w:val="00A6032A"/>
    <w:rsid w:val="00A727FE"/>
    <w:rsid w:val="00A81D2F"/>
    <w:rsid w:val="00B32323"/>
    <w:rsid w:val="00B87320"/>
    <w:rsid w:val="00B90959"/>
    <w:rsid w:val="00B92E7A"/>
    <w:rsid w:val="00B93E38"/>
    <w:rsid w:val="00BB7FE8"/>
    <w:rsid w:val="00BC5526"/>
    <w:rsid w:val="00BE4577"/>
    <w:rsid w:val="00C41114"/>
    <w:rsid w:val="00C55CB0"/>
    <w:rsid w:val="00C93D79"/>
    <w:rsid w:val="00CD7CA3"/>
    <w:rsid w:val="00CF6BDC"/>
    <w:rsid w:val="00D4128D"/>
    <w:rsid w:val="00D547B9"/>
    <w:rsid w:val="00D57592"/>
    <w:rsid w:val="00D62292"/>
    <w:rsid w:val="00D77EFA"/>
    <w:rsid w:val="00E2485A"/>
    <w:rsid w:val="00E34C20"/>
    <w:rsid w:val="00E93253"/>
    <w:rsid w:val="00EE12D0"/>
    <w:rsid w:val="00EF080B"/>
    <w:rsid w:val="00F051CD"/>
    <w:rsid w:val="00F616DD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E792"/>
  <w15:docId w15:val="{CE61BE0D-048E-47E6-991F-AC2C15F0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zamju</dc:creator>
  <cp:lastModifiedBy>Користувач</cp:lastModifiedBy>
  <cp:revision>11</cp:revision>
  <cp:lastPrinted>2025-10-23T09:21:00Z</cp:lastPrinted>
  <dcterms:created xsi:type="dcterms:W3CDTF">2025-10-29T20:35:00Z</dcterms:created>
  <dcterms:modified xsi:type="dcterms:W3CDTF">2025-11-16T15:11:00Z</dcterms:modified>
</cp:coreProperties>
</file>