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3D" w:rsidRPr="002F4220" w:rsidRDefault="00C3523D" w:rsidP="00C3523D">
      <w:pPr>
        <w:tabs>
          <w:tab w:val="left" w:pos="5388"/>
        </w:tabs>
        <w:ind w:firstLine="0"/>
        <w:jc w:val="right"/>
        <w:outlineLvl w:val="7"/>
        <w:rPr>
          <w:rFonts w:eastAsia="Times New Roman" w:cs="Times New Roman"/>
          <w:bCs/>
          <w:sz w:val="22"/>
          <w:szCs w:val="24"/>
          <w:lang w:eastAsia="ru-RU"/>
        </w:rPr>
      </w:pPr>
      <w:r w:rsidRPr="002F4220">
        <w:rPr>
          <w:rFonts w:eastAsia="Times New Roman" w:cs="Times New Roman"/>
          <w:bCs/>
          <w:sz w:val="22"/>
          <w:szCs w:val="24"/>
          <w:lang w:eastAsia="ru-RU"/>
        </w:rPr>
        <w:t>05(21)05/01</w:t>
      </w:r>
    </w:p>
    <w:p w:rsidR="002F4220" w:rsidRDefault="002F4220" w:rsidP="00C3523D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C3523D" w:rsidRPr="002F4220" w:rsidRDefault="00C3523D" w:rsidP="00C3523D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F4220">
        <w:rPr>
          <w:rFonts w:eastAsia="Times New Roman" w:cs="Times New Roman"/>
          <w:b/>
          <w:bCs/>
          <w:sz w:val="26"/>
          <w:szCs w:val="26"/>
          <w:lang w:eastAsia="ru-RU"/>
        </w:rPr>
        <w:t>ОСВІТНЯ ПРОГРАМА</w:t>
      </w:r>
    </w:p>
    <w:p w:rsidR="00C3523D" w:rsidRPr="002F4220" w:rsidRDefault="00C3523D" w:rsidP="00C3523D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F4220">
        <w:rPr>
          <w:rFonts w:eastAsia="Times New Roman" w:cs="Times New Roman"/>
          <w:b/>
          <w:bCs/>
          <w:sz w:val="26"/>
          <w:szCs w:val="26"/>
          <w:lang w:eastAsia="ru-RU"/>
        </w:rPr>
        <w:t>курсів підвищення кваліфікації з теми</w:t>
      </w:r>
    </w:p>
    <w:p w:rsidR="00C3523D" w:rsidRPr="002F4220" w:rsidRDefault="00C3523D" w:rsidP="00C3523D">
      <w:pPr>
        <w:jc w:val="center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</w:p>
    <w:p w:rsidR="00C3523D" w:rsidRPr="002F4220" w:rsidRDefault="00C3523D" w:rsidP="0063342A">
      <w:pPr>
        <w:widowControl w:val="0"/>
        <w:ind w:firstLine="0"/>
        <w:jc w:val="center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r w:rsidRPr="002F4220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«Розвиток професійних </w:t>
      </w:r>
      <w:proofErr w:type="spellStart"/>
      <w:r w:rsidRPr="002F4220">
        <w:rPr>
          <w:rFonts w:eastAsia="Times New Roman" w:cs="Times New Roman"/>
          <w:b/>
          <w:bCs/>
          <w:i/>
          <w:sz w:val="26"/>
          <w:szCs w:val="26"/>
          <w:lang w:eastAsia="ru-RU"/>
        </w:rPr>
        <w:t>компетентностей</w:t>
      </w:r>
      <w:proofErr w:type="spellEnd"/>
      <w:r w:rsidRPr="002F4220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2F4220">
        <w:rPr>
          <w:rFonts w:eastAsia="Times New Roman" w:cs="Times New Roman"/>
          <w:b/>
          <w:bCs/>
          <w:i/>
          <w:sz w:val="26"/>
          <w:szCs w:val="26"/>
          <w:lang w:eastAsia="ru-RU"/>
        </w:rPr>
        <w:br/>
        <w:t xml:space="preserve">вихователів та спеціальних педагогів </w:t>
      </w:r>
      <w:r w:rsidRPr="002F4220">
        <w:rPr>
          <w:rFonts w:eastAsia="Times New Roman" w:cs="Times New Roman"/>
          <w:b/>
          <w:bCs/>
          <w:i/>
          <w:sz w:val="26"/>
          <w:szCs w:val="26"/>
          <w:lang w:eastAsia="ru-RU"/>
        </w:rPr>
        <w:br/>
        <w:t>спеціальних за</w:t>
      </w:r>
      <w:bookmarkStart w:id="0" w:name="_GoBack"/>
      <w:bookmarkEnd w:id="0"/>
      <w:r w:rsidRPr="002F4220">
        <w:rPr>
          <w:rFonts w:eastAsia="Times New Roman" w:cs="Times New Roman"/>
          <w:b/>
          <w:bCs/>
          <w:i/>
          <w:sz w:val="26"/>
          <w:szCs w:val="26"/>
          <w:lang w:eastAsia="ru-RU"/>
        </w:rPr>
        <w:t>кладів освіти»</w:t>
      </w:r>
    </w:p>
    <w:p w:rsidR="002F4220" w:rsidRDefault="002F4220" w:rsidP="0063342A">
      <w:pPr>
        <w:widowControl w:val="0"/>
        <w:ind w:firstLine="0"/>
        <w:jc w:val="center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C3523D" w:rsidRPr="0046285A" w:rsidRDefault="00C3523D" w:rsidP="0063342A">
      <w:pPr>
        <w:widowControl w:val="0"/>
        <w:ind w:firstLine="0"/>
        <w:jc w:val="center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6285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ОРІЄНТОВНИЙ НАВЧАЛЬНО-ТЕМАТИЧНИЙ ПЛАН </w:t>
      </w:r>
    </w:p>
    <w:p w:rsidR="00C3523D" w:rsidRPr="0046285A" w:rsidRDefault="00C3523D" w:rsidP="0063342A">
      <w:pPr>
        <w:widowControl w:val="0"/>
        <w:tabs>
          <w:tab w:val="num" w:pos="0"/>
          <w:tab w:val="left" w:pos="426"/>
        </w:tabs>
        <w:ind w:firstLine="0"/>
        <w:jc w:val="center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46285A">
        <w:rPr>
          <w:rFonts w:eastAsia="Times New Roman" w:cs="Times New Roman"/>
          <w:i/>
          <w:sz w:val="26"/>
          <w:szCs w:val="26"/>
          <w:lang w:eastAsia="ru-RU"/>
        </w:rPr>
        <w:t>(очна/дистанційна форма навчання – 60 год/2 кредити)</w:t>
      </w:r>
    </w:p>
    <w:p w:rsidR="00C3523D" w:rsidRPr="0046285A" w:rsidRDefault="00C3523D" w:rsidP="00C3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14"/>
        <w:gridCol w:w="12"/>
        <w:gridCol w:w="810"/>
        <w:gridCol w:w="40"/>
        <w:gridCol w:w="4779"/>
        <w:gridCol w:w="8"/>
        <w:gridCol w:w="32"/>
        <w:gridCol w:w="528"/>
        <w:gridCol w:w="8"/>
        <w:gridCol w:w="32"/>
        <w:gridCol w:w="470"/>
        <w:gridCol w:w="8"/>
        <w:gridCol w:w="32"/>
        <w:gridCol w:w="471"/>
        <w:gridCol w:w="8"/>
        <w:gridCol w:w="32"/>
        <w:gridCol w:w="470"/>
        <w:gridCol w:w="8"/>
        <w:gridCol w:w="32"/>
        <w:gridCol w:w="613"/>
        <w:gridCol w:w="8"/>
        <w:gridCol w:w="32"/>
      </w:tblGrid>
      <w:tr w:rsidR="00C3523D" w:rsidRPr="002F4220" w:rsidTr="002F4220">
        <w:trPr>
          <w:gridAfter w:val="2"/>
          <w:wAfter w:w="40" w:type="dxa"/>
          <w:cantSplit/>
          <w:trHeight w:val="1943"/>
        </w:trPr>
        <w:tc>
          <w:tcPr>
            <w:tcW w:w="1022" w:type="dxa"/>
            <w:textDirection w:val="btL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 навчальних модулів</w:t>
            </w:r>
          </w:p>
        </w:tc>
        <w:tc>
          <w:tcPr>
            <w:tcW w:w="6055" w:type="dxa"/>
            <w:gridSpan w:val="5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Зміст навчальних модулів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Лекції </w:t>
            </w:r>
          </w:p>
        </w:tc>
        <w:tc>
          <w:tcPr>
            <w:tcW w:w="510" w:type="dxa"/>
            <w:gridSpan w:val="3"/>
            <w:shd w:val="clear" w:color="auto" w:fill="auto"/>
            <w:textDirection w:val="btLr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Семінарські </w:t>
            </w:r>
          </w:p>
        </w:tc>
        <w:tc>
          <w:tcPr>
            <w:tcW w:w="511" w:type="dxa"/>
            <w:gridSpan w:val="3"/>
            <w:shd w:val="clear" w:color="auto" w:fill="auto"/>
            <w:textDirection w:val="btLr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Практичні </w:t>
            </w:r>
          </w:p>
        </w:tc>
        <w:tc>
          <w:tcPr>
            <w:tcW w:w="510" w:type="dxa"/>
            <w:gridSpan w:val="3"/>
            <w:shd w:val="clear" w:color="auto" w:fill="auto"/>
            <w:textDirection w:val="btLr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Онлайн</w:t>
            </w:r>
            <w:r w:rsidRPr="002F42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2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653" w:type="dxa"/>
            <w:gridSpan w:val="3"/>
            <w:shd w:val="clear" w:color="auto" w:fill="auto"/>
            <w:textDirection w:val="btLr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C3523D" w:rsidRPr="002F4220" w:rsidTr="002F4220">
        <w:trPr>
          <w:gridAfter w:val="2"/>
          <w:wAfter w:w="40" w:type="dxa"/>
          <w:cantSplit/>
          <w:trHeight w:val="156"/>
        </w:trPr>
        <w:tc>
          <w:tcPr>
            <w:tcW w:w="1022" w:type="dxa"/>
            <w:vMerge w:val="restart"/>
            <w:textDirection w:val="btLr"/>
          </w:tcPr>
          <w:p w:rsidR="00C3523D" w:rsidRPr="002F4220" w:rsidRDefault="00C3523D" w:rsidP="002F4220">
            <w:pPr>
              <w:widowControl w:val="0"/>
              <w:ind w:firstLine="18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Соціально-гуманітарний</w:t>
            </w:r>
          </w:p>
        </w:tc>
        <w:tc>
          <w:tcPr>
            <w:tcW w:w="414" w:type="dxa"/>
            <w:vMerge w:val="restart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2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tabs>
                <w:tab w:val="left" w:pos="318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Нова українська школа: філософія змін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gridAfter w:val="2"/>
          <w:wAfter w:w="40" w:type="dxa"/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tabs>
                <w:tab w:val="left" w:pos="318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  <w:gridSpan w:val="2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gridAfter w:val="2"/>
          <w:wAfter w:w="40" w:type="dxa"/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4"/>
          </w:tcPr>
          <w:p w:rsidR="00C3523D" w:rsidRPr="002F4220" w:rsidRDefault="00C3523D" w:rsidP="002F4220">
            <w:pPr>
              <w:widowControl w:val="0"/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Разом передбачено годин за планом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3523D" w:rsidRPr="002F4220" w:rsidTr="002F4220">
        <w:trPr>
          <w:gridAfter w:val="2"/>
          <w:wAfter w:w="40" w:type="dxa"/>
          <w:cantSplit/>
          <w:trHeight w:val="139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 w:val="restart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41" w:type="dxa"/>
            <w:gridSpan w:val="4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1.</w:t>
            </w: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3</w:t>
            </w: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. Варіативна складова соціально-гуманітарного модуля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C3523D" w:rsidRPr="002F4220" w:rsidTr="002F4220">
        <w:trPr>
          <w:gridAfter w:val="2"/>
          <w:wAfter w:w="40" w:type="dxa"/>
          <w:cantSplit/>
          <w:trHeight w:val="20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819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булінгу</w:t>
            </w:r>
            <w:proofErr w:type="spellEnd"/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gridAfter w:val="2"/>
          <w:wAfter w:w="40" w:type="dxa"/>
          <w:cantSplit/>
          <w:trHeight w:val="70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819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Ціннісні орієнтири виховного простору НУШ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gridAfter w:val="2"/>
          <w:wAfter w:w="40" w:type="dxa"/>
          <w:cantSplit/>
          <w:trHeight w:val="70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819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Виховання на цінностях: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-емоційний аспект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gridAfter w:val="2"/>
          <w:wAfter w:w="40" w:type="dxa"/>
          <w:cantSplit/>
          <w:trHeight w:val="218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819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Розвиток здоров’язбережувальної компетентності педагогів та учнів спеціальних закладів освіти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gridAfter w:val="2"/>
          <w:wAfter w:w="40" w:type="dxa"/>
          <w:cantSplit/>
          <w:trHeight w:val="570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4819" w:type="dxa"/>
            <w:gridSpan w:val="2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gridAfter w:val="2"/>
          <w:wAfter w:w="40" w:type="dxa"/>
          <w:cantSplit/>
          <w:trHeight w:val="570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Соціальна і громадянська компетентності як умова активного суспільного життя вихованця спеціального закладу освіти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gridAfter w:val="2"/>
          <w:wAfter w:w="40" w:type="dxa"/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4"/>
          </w:tcPr>
          <w:p w:rsidR="00C3523D" w:rsidRPr="002F4220" w:rsidRDefault="00C3523D" w:rsidP="002F4220">
            <w:pPr>
              <w:widowControl w:val="0"/>
              <w:ind w:hanging="9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Разом передбачено годин за планом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C3523D" w:rsidRPr="002F4220" w:rsidTr="002F4220">
        <w:trPr>
          <w:gridAfter w:val="1"/>
          <w:wAfter w:w="32" w:type="dxa"/>
          <w:trHeight w:val="287"/>
        </w:trPr>
        <w:tc>
          <w:tcPr>
            <w:tcW w:w="7085" w:type="dxa"/>
            <w:gridSpan w:val="7"/>
          </w:tcPr>
          <w:p w:rsidR="00C3523D" w:rsidRPr="002F4220" w:rsidRDefault="00C3523D" w:rsidP="002F4220">
            <w:pPr>
              <w:widowControl w:val="0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4220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2F4220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на модуль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 w:val="restart"/>
            <w:textDirection w:val="btL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Професійний</w:t>
            </w:r>
          </w:p>
        </w:tc>
        <w:tc>
          <w:tcPr>
            <w:tcW w:w="426" w:type="dxa"/>
            <w:gridSpan w:val="2"/>
            <w:vMerge w:val="restart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5"/>
          </w:tcPr>
          <w:p w:rsidR="00C3523D" w:rsidRPr="002F4220" w:rsidRDefault="00C3523D" w:rsidP="002F4220">
            <w:pPr>
              <w:widowControl w:val="0"/>
              <w:tabs>
                <w:tab w:val="right" w:pos="7921"/>
              </w:tabs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2.1 Педагогічна </w:t>
            </w:r>
            <w:proofErr w:type="spellStart"/>
            <w:r w:rsidRPr="002F422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інноватика</w:t>
            </w:r>
            <w:proofErr w:type="spellEnd"/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tabs>
                <w:tab w:val="right" w:pos="7921"/>
              </w:tabs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tabs>
                <w:tab w:val="right" w:pos="7921"/>
              </w:tabs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tabs>
                <w:tab w:val="right" w:pos="7921"/>
              </w:tabs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tabs>
                <w:tab w:val="right" w:pos="7921"/>
              </w:tabs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tabs>
                <w:tab w:val="right" w:pos="7921"/>
              </w:tabs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3523D" w:rsidRPr="002F4220" w:rsidTr="002F4220">
        <w:trPr>
          <w:cantSplit/>
          <w:trHeight w:val="239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tabs>
                <w:tab w:val="right" w:pos="7921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Компетентнісний та персоналізований підходи в форматі очного, дистанційного та змішаного навчання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239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tabs>
                <w:tab w:val="right" w:pos="7921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Інноваційна компетентність вихователя та корекційного педагога у контексті професійної самореалізації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5"/>
            <w:shd w:val="clear" w:color="auto" w:fill="auto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2.2 </w:t>
            </w:r>
            <w:r w:rsidRPr="002F422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Психологічні основи навчання і виховання. Інклюзивна освіта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Організація освітнього процесу в інклюзивному класі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Психолого-педагогічний супровід дітей з комплексними порушеннями розвитку в спеціальному закладі освіти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227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Умови створення психологічного комфорту в дитячому колективі спеціального закладу освіти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232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Технології педагогічного керівництва процесом розвитку дитячого колективу спеціального закладу освіти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232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2F4220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Формування життєвої компетентності у вихованців спеціальних закладів освіти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5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2.3 Цифрові технології в сучасному освітньому просторі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3523D" w:rsidRPr="002F4220" w:rsidTr="002F4220">
        <w:trPr>
          <w:cantSplit/>
          <w:trHeight w:val="420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Інформаційно-цифрова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компетентність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вчителя спеціального закладу освіти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5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2.4 Актуальні питання виховної роботи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2F422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Партнерська модель закладу освіти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2F422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Нова українська школа: позиція педагога як вихователя спеціального закладу освіти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5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2.5 </w:t>
            </w:r>
            <w:r w:rsidRPr="002F4220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Методика навчальної та виховної роботи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Актуальні форми і методи виховної роботи в умовах очного, дистанційного та змішаного навчання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Формування </w:t>
            </w:r>
            <w:proofErr w:type="spellStart"/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медіакультури</w:t>
            </w:r>
            <w:proofErr w:type="spellEnd"/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школярів у виховному процесі спеціального закладу освіти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Розвиток критичного мислення особистості вихованця спеціального закладу освіти 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color w:val="6600FF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самопідготовки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як основа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ключових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компетентностей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вихованця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shd w:val="clear" w:color="auto" w:fill="FFFFFF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Система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дітьми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ризику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» (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гіперактивними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агресивними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тривожними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Ненасильницьке спілкування. Основи медіації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Особливості роботи з батьками дітей, які мають порушення розвитку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523D" w:rsidRPr="002F4220" w:rsidTr="002F4220">
        <w:trPr>
          <w:cantSplit/>
          <w:trHeight w:val="279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5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Разом передбачено годин за планом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69" w:type="dxa"/>
            <w:gridSpan w:val="5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2.6 Варіативна складова професійного модуля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F4220">
              <w:rPr>
                <w:rFonts w:eastAsia="Calibri" w:cs="Times New Roman"/>
                <w:bCs/>
                <w:sz w:val="24"/>
                <w:szCs w:val="24"/>
              </w:rPr>
              <w:t>Фомування</w:t>
            </w:r>
            <w:proofErr w:type="spellEnd"/>
            <w:r w:rsidRPr="002F4220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220">
              <w:rPr>
                <w:rFonts w:eastAsia="Calibri" w:cs="Times New Roman"/>
                <w:bCs/>
                <w:sz w:val="24"/>
                <w:szCs w:val="24"/>
              </w:rPr>
              <w:t>стресостійкості</w:t>
            </w:r>
            <w:proofErr w:type="spellEnd"/>
            <w:r w:rsidRPr="002F4220">
              <w:rPr>
                <w:rFonts w:eastAsia="Calibri" w:cs="Times New Roman"/>
                <w:bCs/>
                <w:sz w:val="24"/>
                <w:szCs w:val="24"/>
              </w:rPr>
              <w:t xml:space="preserve"> педагогів спеціальних закладів освіти як фактор профілактики емоційного вигорання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2F4220">
              <w:rPr>
                <w:rFonts w:eastAsia="Calibri" w:cs="Times New Roman"/>
                <w:bCs/>
                <w:sz w:val="24"/>
                <w:szCs w:val="24"/>
              </w:rPr>
              <w:t>Корекційна спрямованість як основний принцип організації освітньої діяльності дітей з порушеннями психофізичного розвитку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Розлади </w:t>
            </w:r>
            <w:proofErr w:type="spellStart"/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аутистичного</w:t>
            </w:r>
            <w:proofErr w:type="spellEnd"/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спектра (РАС): оцінка </w:t>
            </w: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та розвиток комунікації при РАС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Педагогічна підтримка дітей з тяжкими порушеннями мовлення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Освітня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кінезіологія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. Новітні технології в роботі</w:t>
            </w: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22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з дітьми з особливими потребами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2.6.6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Методика організації рухової активності здобувачів освіти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2.6.7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Використання арт-методів у виховній та корекційно-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розвитковій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роботі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2.6.8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Формування репродуктивного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здоровʼя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 вихованців спеціальних закладів освіти</w:t>
            </w:r>
          </w:p>
        </w:tc>
        <w:tc>
          <w:tcPr>
            <w:tcW w:w="568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2.6.9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Молодіжні субкультури у розвитку особистості </w:t>
            </w:r>
            <w:proofErr w:type="spellStart"/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підлітка</w:t>
            </w:r>
            <w:proofErr w:type="spellEnd"/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2.6.10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Профілактика торгівлі людьми, маніпуляції свідомістю та експлуатації дітей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2.6.11</w:t>
            </w:r>
          </w:p>
        </w:tc>
        <w:tc>
          <w:tcPr>
            <w:tcW w:w="4819" w:type="dxa"/>
            <w:gridSpan w:val="3"/>
          </w:tcPr>
          <w:p w:rsidR="00C3523D" w:rsidRPr="002F4220" w:rsidRDefault="00C3523D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Спілкування державною мовою: практичний аспект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523D" w:rsidRPr="002F4220" w:rsidTr="002F4220">
        <w:trPr>
          <w:cantSplit/>
          <w:trHeight w:val="143"/>
        </w:trPr>
        <w:tc>
          <w:tcPr>
            <w:tcW w:w="1022" w:type="dxa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5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Разом передбачено годин за планом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C3523D" w:rsidRPr="002F4220" w:rsidRDefault="00C3523D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F4220" w:rsidRPr="002F4220" w:rsidTr="00A8673D">
        <w:trPr>
          <w:cantSplit/>
          <w:trHeight w:val="143"/>
        </w:trPr>
        <w:tc>
          <w:tcPr>
            <w:tcW w:w="7117" w:type="dxa"/>
            <w:gridSpan w:val="8"/>
          </w:tcPr>
          <w:p w:rsidR="002F4220" w:rsidRPr="002F4220" w:rsidRDefault="002F4220" w:rsidP="002F4220">
            <w:pPr>
              <w:widowControl w:val="0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4220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2F4220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на модуль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2F4220" w:rsidRPr="002F4220" w:rsidTr="002F4220">
        <w:trPr>
          <w:cantSplit/>
          <w:trHeight w:val="732"/>
        </w:trPr>
        <w:tc>
          <w:tcPr>
            <w:tcW w:w="1022" w:type="dxa"/>
            <w:vMerge w:val="restart"/>
            <w:tcBorders>
              <w:top w:val="nil"/>
            </w:tcBorders>
            <w:textDirection w:val="btL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Діагностико-аналітичний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</w:tcBorders>
          </w:tcPr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19" w:type="dxa"/>
            <w:gridSpan w:val="3"/>
            <w:tcBorders>
              <w:top w:val="nil"/>
            </w:tcBorders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Настановне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Вхідне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діагностування</w:t>
            </w:r>
            <w:proofErr w:type="spellEnd"/>
          </w:p>
        </w:tc>
        <w:tc>
          <w:tcPr>
            <w:tcW w:w="56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4220" w:rsidRPr="002F4220" w:rsidTr="002F4220">
        <w:trPr>
          <w:cantSplit/>
          <w:trHeight w:val="573"/>
        </w:trPr>
        <w:tc>
          <w:tcPr>
            <w:tcW w:w="1022" w:type="dxa"/>
            <w:vMerge/>
          </w:tcPr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19" w:type="dxa"/>
            <w:gridSpan w:val="3"/>
            <w:vAlign w:val="center"/>
          </w:tcPr>
          <w:p w:rsidR="002F4220" w:rsidRPr="002F4220" w:rsidRDefault="002F4220" w:rsidP="002F4220">
            <w:pPr>
              <w:widowControl w:val="0"/>
              <w:ind w:firstLine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Підсумкове заняття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4220" w:rsidRPr="002F4220" w:rsidTr="002F4220">
        <w:trPr>
          <w:cantSplit/>
          <w:trHeight w:val="553"/>
        </w:trPr>
        <w:tc>
          <w:tcPr>
            <w:tcW w:w="1022" w:type="dxa"/>
            <w:vMerge/>
          </w:tcPr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19" w:type="dxa"/>
            <w:gridSpan w:val="3"/>
            <w:vAlign w:val="center"/>
          </w:tcPr>
          <w:p w:rsidR="002F4220" w:rsidRPr="002F4220" w:rsidRDefault="002F4220" w:rsidP="002F4220">
            <w:pPr>
              <w:widowControl w:val="0"/>
              <w:ind w:firstLine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Конференція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обміну</w:t>
            </w:r>
            <w:proofErr w:type="spellEnd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22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досвідом</w:t>
            </w:r>
            <w:proofErr w:type="spellEnd"/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4220" w:rsidRPr="002F4220" w:rsidTr="002F4220">
        <w:trPr>
          <w:cantSplit/>
          <w:trHeight w:val="264"/>
        </w:trPr>
        <w:tc>
          <w:tcPr>
            <w:tcW w:w="1022" w:type="dxa"/>
            <w:vMerge/>
          </w:tcPr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2F4220" w:rsidRPr="002F4220" w:rsidRDefault="002F4220" w:rsidP="002F4220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5"/>
          </w:tcPr>
          <w:p w:rsidR="002F4220" w:rsidRPr="002F4220" w:rsidRDefault="002F4220" w:rsidP="002F4220">
            <w:pPr>
              <w:widowControl w:val="0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4220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2F4220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на модуль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F4220" w:rsidRPr="002F4220" w:rsidTr="002F4220">
        <w:trPr>
          <w:gridAfter w:val="1"/>
          <w:wAfter w:w="32" w:type="dxa"/>
          <w:trHeight w:val="391"/>
        </w:trPr>
        <w:tc>
          <w:tcPr>
            <w:tcW w:w="7085" w:type="dxa"/>
            <w:gridSpan w:val="7"/>
          </w:tcPr>
          <w:p w:rsidR="002F4220" w:rsidRPr="002F4220" w:rsidRDefault="002F4220" w:rsidP="002F4220">
            <w:pPr>
              <w:widowControl w:val="0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Разом за модулями</w:t>
            </w:r>
          </w:p>
        </w:tc>
        <w:tc>
          <w:tcPr>
            <w:tcW w:w="568" w:type="dxa"/>
            <w:gridSpan w:val="3"/>
            <w:vAlign w:val="center"/>
          </w:tcPr>
          <w:p w:rsidR="002F4220" w:rsidRPr="002F4220" w:rsidRDefault="002F4220" w:rsidP="002F4220">
            <w:pPr>
              <w:widowControl w:val="0"/>
              <w:ind w:firstLine="10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gridSpan w:val="3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" w:type="dxa"/>
            <w:gridSpan w:val="3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3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3" w:type="dxa"/>
            <w:gridSpan w:val="3"/>
            <w:vAlign w:val="center"/>
          </w:tcPr>
          <w:p w:rsidR="002F4220" w:rsidRPr="002F4220" w:rsidRDefault="002F4220" w:rsidP="002F4220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2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C3523D" w:rsidRDefault="00C3523D" w:rsidP="00C3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509EE" w:rsidRDefault="0063342A"/>
    <w:sectPr w:rsidR="00C509EE" w:rsidSect="002F42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3D"/>
    <w:rsid w:val="0025056C"/>
    <w:rsid w:val="002F4220"/>
    <w:rsid w:val="00401A3C"/>
    <w:rsid w:val="0063342A"/>
    <w:rsid w:val="00C3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EC4F1-00FD-49D1-B3C1-DA5AAF1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3D"/>
    <w:pPr>
      <w:spacing w:after="0" w:line="240" w:lineRule="auto"/>
      <w:ind w:firstLine="709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Методисты</cp:lastModifiedBy>
  <cp:revision>3</cp:revision>
  <dcterms:created xsi:type="dcterms:W3CDTF">2021-11-05T13:45:00Z</dcterms:created>
  <dcterms:modified xsi:type="dcterms:W3CDTF">2021-11-05T13:54:00Z</dcterms:modified>
</cp:coreProperties>
</file>