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A0" w:rsidRPr="004152A0" w:rsidRDefault="004152A0" w:rsidP="004152A0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152A0">
        <w:rPr>
          <w:rFonts w:ascii="Times New Roman" w:hAnsi="Times New Roman"/>
          <w:sz w:val="20"/>
          <w:szCs w:val="20"/>
          <w:lang w:val="uk-UA"/>
        </w:rPr>
        <w:t>01(21)02/03</w:t>
      </w:r>
    </w:p>
    <w:p w:rsidR="004152A0" w:rsidRPr="00437952" w:rsidRDefault="004152A0" w:rsidP="004152A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152A0" w:rsidRPr="004152A0" w:rsidRDefault="004152A0" w:rsidP="004152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152A0">
        <w:rPr>
          <w:rFonts w:ascii="Times New Roman" w:hAnsi="Times New Roman"/>
          <w:b/>
          <w:sz w:val="26"/>
          <w:szCs w:val="26"/>
          <w:lang w:val="uk-UA"/>
        </w:rPr>
        <w:t>ОСВІТНЯ ПРОГРАМА</w:t>
      </w:r>
    </w:p>
    <w:p w:rsidR="004152A0" w:rsidRPr="004152A0" w:rsidRDefault="004152A0" w:rsidP="004152A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152A0">
        <w:rPr>
          <w:rFonts w:ascii="Times New Roman" w:hAnsi="Times New Roman"/>
          <w:b/>
          <w:sz w:val="26"/>
          <w:szCs w:val="26"/>
          <w:lang w:val="uk-UA"/>
        </w:rPr>
        <w:t>курсів підвищення кваліфікації з теми</w:t>
      </w:r>
    </w:p>
    <w:p w:rsidR="004152A0" w:rsidRPr="004152A0" w:rsidRDefault="004152A0" w:rsidP="004152A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4152A0" w:rsidRDefault="004152A0" w:rsidP="004152A0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4152A0">
        <w:rPr>
          <w:rFonts w:ascii="Times New Roman" w:hAnsi="Times New Roman"/>
          <w:b/>
          <w:i/>
          <w:sz w:val="26"/>
          <w:szCs w:val="26"/>
          <w:lang w:val="uk-UA"/>
        </w:rPr>
        <w:t xml:space="preserve">«Розвиток професійних </w:t>
      </w:r>
      <w:proofErr w:type="spellStart"/>
      <w:r w:rsidRPr="004152A0">
        <w:rPr>
          <w:rFonts w:ascii="Times New Roman" w:hAnsi="Times New Roman"/>
          <w:b/>
          <w:i/>
          <w:sz w:val="26"/>
          <w:szCs w:val="26"/>
          <w:lang w:val="uk-UA"/>
        </w:rPr>
        <w:t>компетентностей</w:t>
      </w:r>
      <w:proofErr w:type="spellEnd"/>
      <w:r w:rsidRPr="004152A0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</w:p>
    <w:p w:rsidR="004152A0" w:rsidRPr="004152A0" w:rsidRDefault="004152A0" w:rsidP="004152A0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4152A0">
        <w:rPr>
          <w:rFonts w:ascii="Times New Roman" w:hAnsi="Times New Roman"/>
          <w:b/>
          <w:i/>
          <w:sz w:val="26"/>
          <w:szCs w:val="26"/>
          <w:lang w:val="uk-UA"/>
        </w:rPr>
        <w:t>асистентів вихователів інклюзивної групи ЗДО»</w:t>
      </w:r>
    </w:p>
    <w:p w:rsidR="004152A0" w:rsidRPr="004152A0" w:rsidRDefault="004152A0" w:rsidP="004152A0">
      <w:pPr>
        <w:pStyle w:val="3"/>
        <w:keepNext w:val="0"/>
        <w:widowControl w:val="0"/>
        <w:rPr>
          <w:rFonts w:ascii="Times New Roman" w:hAnsi="Times New Roman"/>
          <w:bCs/>
          <w:sz w:val="26"/>
          <w:szCs w:val="26"/>
        </w:rPr>
      </w:pPr>
    </w:p>
    <w:p w:rsidR="004152A0" w:rsidRPr="004152A0" w:rsidRDefault="004152A0" w:rsidP="004152A0">
      <w:pPr>
        <w:pStyle w:val="3"/>
        <w:keepNext w:val="0"/>
        <w:widowControl w:val="0"/>
        <w:rPr>
          <w:rFonts w:ascii="Times New Roman" w:hAnsi="Times New Roman"/>
          <w:bCs/>
          <w:i/>
          <w:iCs/>
          <w:sz w:val="26"/>
          <w:szCs w:val="26"/>
        </w:rPr>
      </w:pPr>
      <w:r w:rsidRPr="004152A0">
        <w:rPr>
          <w:rFonts w:ascii="Times New Roman" w:hAnsi="Times New Roman"/>
          <w:bCs/>
          <w:sz w:val="26"/>
          <w:szCs w:val="26"/>
        </w:rPr>
        <w:t>ОРІЄНТОВНИЙ НАВЧАЛЬНО-ТЕМАТИЧНИЙ ПЛАН</w:t>
      </w:r>
    </w:p>
    <w:p w:rsidR="004152A0" w:rsidRPr="004152A0" w:rsidRDefault="004152A0" w:rsidP="004152A0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  <w:lang w:val="uk-UA"/>
        </w:rPr>
      </w:pPr>
      <w:r w:rsidRPr="004152A0">
        <w:rPr>
          <w:rFonts w:ascii="Times New Roman" w:hAnsi="Times New Roman"/>
          <w:bCs/>
          <w:i/>
          <w:sz w:val="26"/>
          <w:szCs w:val="26"/>
          <w:lang w:val="uk-UA"/>
        </w:rPr>
        <w:t>(очна/дистанційна форма навчання – 60 год</w:t>
      </w:r>
      <w:r>
        <w:rPr>
          <w:rFonts w:ascii="Times New Roman" w:hAnsi="Times New Roman"/>
          <w:bCs/>
          <w:i/>
          <w:sz w:val="26"/>
          <w:szCs w:val="26"/>
          <w:lang w:val="uk-UA"/>
        </w:rPr>
        <w:t xml:space="preserve">ин </w:t>
      </w:r>
      <w:r w:rsidRPr="004152A0">
        <w:rPr>
          <w:rFonts w:ascii="Times New Roman" w:hAnsi="Times New Roman"/>
          <w:bCs/>
          <w:i/>
          <w:sz w:val="26"/>
          <w:szCs w:val="26"/>
          <w:lang w:val="uk-UA"/>
        </w:rPr>
        <w:t>/</w:t>
      </w:r>
      <w:r>
        <w:rPr>
          <w:rFonts w:ascii="Times New Roman" w:hAnsi="Times New Roman"/>
          <w:bCs/>
          <w:i/>
          <w:sz w:val="26"/>
          <w:szCs w:val="26"/>
          <w:lang w:val="uk-UA"/>
        </w:rPr>
        <w:t xml:space="preserve"> </w:t>
      </w:r>
      <w:r w:rsidRPr="004152A0">
        <w:rPr>
          <w:rFonts w:ascii="Times New Roman" w:hAnsi="Times New Roman"/>
          <w:bCs/>
          <w:i/>
          <w:sz w:val="26"/>
          <w:szCs w:val="26"/>
          <w:lang w:val="uk-UA"/>
        </w:rPr>
        <w:t>2 кредити)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23"/>
        <w:gridCol w:w="1018"/>
        <w:gridCol w:w="4592"/>
        <w:gridCol w:w="712"/>
        <w:gridCol w:w="850"/>
        <w:gridCol w:w="709"/>
        <w:gridCol w:w="657"/>
        <w:gridCol w:w="616"/>
        <w:gridCol w:w="6"/>
      </w:tblGrid>
      <w:tr w:rsidR="004152A0" w:rsidRPr="00F13726" w:rsidTr="007246A0">
        <w:trPr>
          <w:gridAfter w:val="1"/>
          <w:wAfter w:w="6" w:type="dxa"/>
          <w:cantSplit/>
          <w:trHeight w:val="1590"/>
          <w:tblHeader/>
          <w:jc w:val="center"/>
        </w:trPr>
        <w:tc>
          <w:tcPr>
            <w:tcW w:w="2350" w:type="dxa"/>
            <w:gridSpan w:val="3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модулів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навчальних модулів</w:t>
            </w:r>
          </w:p>
        </w:tc>
        <w:tc>
          <w:tcPr>
            <w:tcW w:w="712" w:type="dxa"/>
            <w:textDirection w:val="btLr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709" w:type="dxa"/>
            <w:textDirection w:val="btLr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657" w:type="dxa"/>
            <w:textDirection w:val="btLr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Online </w:t>
            </w:r>
            <w:proofErr w:type="spellStart"/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16" w:type="dxa"/>
            <w:textDirection w:val="btLr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 w:val="restart"/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 Соціально-гуманітарний</w:t>
            </w:r>
          </w:p>
        </w:tc>
        <w:tc>
          <w:tcPr>
            <w:tcW w:w="423" w:type="dxa"/>
            <w:vMerge w:val="restart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59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A0">
              <w:rPr>
                <w:rFonts w:ascii="Times New Roman" w:hAnsi="Times New Roman"/>
                <w:sz w:val="24"/>
                <w:szCs w:val="24"/>
              </w:rPr>
              <w:t xml:space="preserve">Нова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</w:rPr>
              <w:t xml:space="preserve"> школа: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філософія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Філософські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</w:rPr>
              <w:t xml:space="preserve"> засади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інклюзивної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/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Нормативно-правове врегулювання нововведень в освіті, у дошкільній освіті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/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Як створити умови для ефективної та безпечної життєдіяльності дітей у ЗДО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92" w:type="dxa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передбачено годин</w:t>
            </w:r>
          </w:p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4592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1.4. Варіативна складова соціально-гуманітарного модуля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1.4.1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Ефективні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здоров’язбережувальні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технології в роботі з дітьми з особливими освітніми потребами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1.4.2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Національно-патріотичне виховання дітей дошкільного віку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1.4.3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Ціннісні орієнтири сучасних дошкільників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1.4.4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корпоративної етики в закладі дошкільної освіти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передбачено годин</w:t>
            </w:r>
          </w:p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gridAfter w:val="1"/>
          <w:wAfter w:w="6" w:type="dxa"/>
          <w:cantSplit/>
          <w:trHeight w:val="295"/>
          <w:jc w:val="center"/>
        </w:trPr>
        <w:tc>
          <w:tcPr>
            <w:tcW w:w="6942" w:type="dxa"/>
            <w:gridSpan w:val="4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4152A0" w:rsidRPr="00F13726" w:rsidTr="007246A0">
        <w:trPr>
          <w:cantSplit/>
          <w:trHeight w:val="292"/>
          <w:jc w:val="center"/>
        </w:trPr>
        <w:tc>
          <w:tcPr>
            <w:tcW w:w="909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 Професійний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1018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2.1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Інноваційна компетентність педагога ЗДО 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18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2.1.1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Методичні аспекти впровадження ефективних педагогічних технологій в освітній процес ЗДО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2.1.2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зміни в сучасній дошкільній освіті: нововведення в організації роботи з дітьми дошкільного віку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2.1.3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Як створити розвивальний освітній простір в інклюзивній групі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10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2.1.4</w:t>
            </w:r>
          </w:p>
        </w:tc>
        <w:tc>
          <w:tcPr>
            <w:tcW w:w="4592" w:type="dxa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основних принципів «педагогіки партнерства» у навчанні та вихованні дітей дошкільного віку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5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2.2</w:t>
            </w:r>
          </w:p>
        </w:tc>
        <w:tc>
          <w:tcPr>
            <w:tcW w:w="4592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Сучасна педагогічна психологія. Інклюзивна освіта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12</w:t>
            </w:r>
          </w:p>
        </w:tc>
      </w:tr>
      <w:tr w:rsidR="004152A0" w:rsidRPr="00F13726" w:rsidTr="007246A0">
        <w:trPr>
          <w:cantSplit/>
          <w:trHeight w:val="5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2.2.1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Ризики особистісного розвитку дитини «цифрового покоління»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5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2.2.2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стратегії та шляхи формування позитивної атмосфери та толерантних взаємин у дитячому колективі. Запобігання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5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2.2.3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Діти з особливими освітніми потребами: специфіка взаємодії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5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2.2.4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МКФ-ДП: сутність та особливості застосування в закладі освіти для визначення особливих освітніх потреб дитини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5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2.2.5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організації інклюзивної освіти в ЗДО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5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2.2.6</w:t>
            </w:r>
          </w:p>
        </w:tc>
        <w:tc>
          <w:tcPr>
            <w:tcW w:w="4592" w:type="dxa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Корекція мовленнєвого розвитку дітей: функції й завдання асистента вихователя ЗДО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162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2.3</w:t>
            </w:r>
          </w:p>
        </w:tc>
        <w:tc>
          <w:tcPr>
            <w:tcW w:w="4592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Інформаційне забезпечення професійної діяльності педагога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539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592" w:type="dxa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Інформаційно-цифрова компетентність сучасного асистента вихователя ЗДО 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2.4</w:t>
            </w:r>
          </w:p>
        </w:tc>
        <w:tc>
          <w:tcPr>
            <w:tcW w:w="4592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Мовленнєва компетентність педагога 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2.4.1</w:t>
            </w:r>
          </w:p>
        </w:tc>
        <w:tc>
          <w:tcPr>
            <w:tcW w:w="4592" w:type="dxa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Практичні аспекти підвищення рівня мовленнєвої культури асистента вихователя ЗДО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gridSpan w:val="2"/>
            <w:tcBorders>
              <w:bottom w:val="single" w:sz="18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gridAfter w:val="1"/>
          <w:wAfter w:w="6" w:type="dxa"/>
          <w:cantSplit/>
          <w:trHeight w:val="488"/>
          <w:jc w:val="center"/>
        </w:trPr>
        <w:tc>
          <w:tcPr>
            <w:tcW w:w="909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 Професійний</w:t>
            </w:r>
          </w:p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018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2.5</w:t>
            </w:r>
          </w:p>
        </w:tc>
        <w:tc>
          <w:tcPr>
            <w:tcW w:w="4592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Організаційно-методичний супровід освітнього процесу в інклюзивній групі закладу дошкільної освіти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10</w:t>
            </w: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2.5.1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команди психолого-педагогічного супроводу дитини з ООП в умовах закладу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закладу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дошкільної освіти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2.5.2</w:t>
            </w:r>
          </w:p>
        </w:tc>
        <w:tc>
          <w:tcPr>
            <w:tcW w:w="4592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Алгоритм розроблення індивідуальної програми розвитку дитини з ООП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2.5.3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Роль асистента вихователя в інклюзивній групі ЗДО: основні функції, завдання та форми співпраці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2.5.4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Документація асистента вихователя інклюзивної групи ЗДО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2.5.5</w:t>
            </w:r>
          </w:p>
        </w:tc>
        <w:tc>
          <w:tcPr>
            <w:tcW w:w="4592" w:type="dxa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Специфіка організації ігрової діяльності дітей  дошкільного віку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325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10" w:type="dxa"/>
            <w:gridSpan w:val="2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4152A0" w:rsidRPr="00F13726" w:rsidTr="007246A0">
        <w:trPr>
          <w:cantSplit/>
          <w:trHeight w:val="306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2.</w:t>
            </w:r>
            <w:r w:rsidRPr="004152A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4592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Варіативна складова професійного модуля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152A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Ефективні підходи до формування ігрової компетентності дітей з ООП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152A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152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Шляхи ефективного впливу на емоційний розвиток дітей дошкільного віку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152A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152A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Методи психофізичної саморегуляції дошкільників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152A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Освітній потенціал LEGO-технології в роботі з дітьми дошкільного віку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2.6.5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Корекційні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лего-конструювання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в роботі з дітьми з ООП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5F264E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2.6.6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педагогічної компетентності асистента вихователя  щодо роботи з батьками, які виховують дітей з ООП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2.6.7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Сучасна українська література для дітей дошкільного віку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2.6.8</w:t>
            </w:r>
          </w:p>
        </w:tc>
        <w:tc>
          <w:tcPr>
            <w:tcW w:w="459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Рухова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активність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умова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інтелектуального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41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2A0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2.6.9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проявам насильства стосовно дитини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cantSplit/>
          <w:trHeight w:val="488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2.6.10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Алгоритм  розроблення конспекту заняття в інклюзивній групі ЗДО</w:t>
            </w: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52A0" w:rsidRPr="00F13726" w:rsidTr="007246A0">
        <w:trPr>
          <w:gridAfter w:val="1"/>
          <w:wAfter w:w="6" w:type="dxa"/>
          <w:cantSplit/>
          <w:trHeight w:val="267"/>
          <w:jc w:val="center"/>
        </w:trPr>
        <w:tc>
          <w:tcPr>
            <w:tcW w:w="694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4152A0" w:rsidRPr="00F13726" w:rsidTr="007246A0">
        <w:trPr>
          <w:gridAfter w:val="1"/>
          <w:wAfter w:w="6" w:type="dxa"/>
          <w:cantSplit/>
          <w:trHeight w:val="358"/>
          <w:jc w:val="center"/>
        </w:trPr>
        <w:tc>
          <w:tcPr>
            <w:tcW w:w="694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14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46</w:t>
            </w:r>
          </w:p>
        </w:tc>
      </w:tr>
      <w:tr w:rsidR="004152A0" w:rsidRPr="00F13726" w:rsidTr="007246A0">
        <w:trPr>
          <w:cantSplit/>
          <w:trHeight w:val="127"/>
          <w:jc w:val="center"/>
        </w:trPr>
        <w:tc>
          <w:tcPr>
            <w:tcW w:w="909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 Діагностико-аналітичний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1018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4592" w:type="dxa"/>
            <w:tcBorders>
              <w:top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Настановне заняття </w:t>
            </w:r>
          </w:p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Вхідне діагностування</w:t>
            </w:r>
          </w:p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tcBorders>
              <w:top w:val="single" w:sz="18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127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Підсумкове заняття </w:t>
            </w:r>
          </w:p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cantSplit/>
          <w:trHeight w:val="222"/>
          <w:jc w:val="center"/>
        </w:trPr>
        <w:tc>
          <w:tcPr>
            <w:tcW w:w="909" w:type="dxa"/>
            <w:vMerge/>
            <w:tcBorders>
              <w:right w:val="single" w:sz="8" w:space="0" w:color="auto"/>
            </w:tcBorders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vMerge/>
            <w:tcBorders>
              <w:left w:val="single" w:sz="8" w:space="0" w:color="auto"/>
            </w:tcBorders>
            <w:textDirection w:val="btL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4592" w:type="dxa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 з обміну досвідом</w:t>
            </w:r>
          </w:p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152A0" w:rsidRPr="004152A0" w:rsidRDefault="004152A0" w:rsidP="007246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152A0" w:rsidRPr="00F13726" w:rsidTr="007246A0">
        <w:trPr>
          <w:gridAfter w:val="1"/>
          <w:wAfter w:w="6" w:type="dxa"/>
          <w:cantSplit/>
          <w:trHeight w:val="108"/>
          <w:jc w:val="center"/>
        </w:trPr>
        <w:tc>
          <w:tcPr>
            <w:tcW w:w="6942" w:type="dxa"/>
            <w:gridSpan w:val="4"/>
            <w:tcBorders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4152A0" w:rsidRPr="00F13726" w:rsidTr="007246A0">
        <w:trPr>
          <w:gridAfter w:val="1"/>
          <w:wAfter w:w="6" w:type="dxa"/>
          <w:cantSplit/>
          <w:trHeight w:val="108"/>
          <w:jc w:val="center"/>
        </w:trPr>
        <w:tc>
          <w:tcPr>
            <w:tcW w:w="694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2A0" w:rsidRPr="004152A0" w:rsidRDefault="004152A0" w:rsidP="007246A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52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:rsidR="00B8208F" w:rsidRDefault="00B8208F">
      <w:bookmarkStart w:id="0" w:name="_GoBack"/>
      <w:bookmarkEnd w:id="0"/>
    </w:p>
    <w:sectPr w:rsidR="00B8208F" w:rsidSect="004152A0">
      <w:footerReference w:type="default" r:id="rId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4E" w:rsidRDefault="004152A0" w:rsidP="00CE298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5F264E" w:rsidRDefault="004152A0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DF"/>
    <w:rsid w:val="004152A0"/>
    <w:rsid w:val="00B8208F"/>
    <w:rsid w:val="00F4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19AC"/>
  <w15:chartTrackingRefBased/>
  <w15:docId w15:val="{A8E74134-0CA7-4E9D-82F5-E6966533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152A0"/>
    <w:pPr>
      <w:keepNext/>
      <w:spacing w:after="0" w:line="240" w:lineRule="auto"/>
      <w:jc w:val="center"/>
      <w:outlineLvl w:val="2"/>
    </w:pPr>
    <w:rPr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152A0"/>
    <w:rPr>
      <w:rFonts w:ascii="Calibri" w:eastAsia="Times New Roman" w:hAnsi="Calibri" w:cs="Times New Roman"/>
      <w:b/>
      <w:sz w:val="24"/>
      <w:szCs w:val="20"/>
      <w:lang w:val="uk-UA" w:eastAsia="ru-RU"/>
    </w:rPr>
  </w:style>
  <w:style w:type="character" w:styleId="a3">
    <w:name w:val="page number"/>
    <w:basedOn w:val="a0"/>
    <w:uiPriority w:val="99"/>
    <w:rsid w:val="004152A0"/>
    <w:rPr>
      <w:rFonts w:cs="Times New Roman"/>
    </w:rPr>
  </w:style>
  <w:style w:type="paragraph" w:styleId="a4">
    <w:name w:val="footer"/>
    <w:basedOn w:val="a"/>
    <w:link w:val="a5"/>
    <w:uiPriority w:val="99"/>
    <w:rsid w:val="004152A0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val="uk-UA"/>
    </w:rPr>
  </w:style>
  <w:style w:type="character" w:customStyle="1" w:styleId="a5">
    <w:name w:val="Нижний колонтитул Знак"/>
    <w:basedOn w:val="a0"/>
    <w:link w:val="a4"/>
    <w:uiPriority w:val="99"/>
    <w:rsid w:val="004152A0"/>
    <w:rPr>
      <w:rFonts w:ascii="Calibri" w:eastAsia="Times New Roman" w:hAnsi="Calibri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2</cp:revision>
  <dcterms:created xsi:type="dcterms:W3CDTF">2021-06-01T12:14:00Z</dcterms:created>
  <dcterms:modified xsi:type="dcterms:W3CDTF">2021-06-01T12:15:00Z</dcterms:modified>
</cp:coreProperties>
</file>