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BB" w:rsidRPr="00785E67" w:rsidRDefault="00CE7FF5" w:rsidP="00C07DBB">
      <w:pPr>
        <w:spacing w:after="0"/>
        <w:jc w:val="right"/>
        <w:rPr>
          <w:rFonts w:ascii="Times New Roman" w:hAnsi="Times New Roman" w:cs="Times New Roman"/>
          <w:sz w:val="20"/>
        </w:rPr>
      </w:pPr>
      <w:r w:rsidRPr="00785E67">
        <w:rPr>
          <w:rFonts w:ascii="Times New Roman" w:hAnsi="Times New Roman" w:cs="Times New Roman"/>
          <w:sz w:val="20"/>
          <w:lang w:val="uk-UA"/>
        </w:rPr>
        <w:t>06(21)0</w:t>
      </w:r>
      <w:r w:rsidR="004A020B" w:rsidRPr="00785E67">
        <w:rPr>
          <w:rFonts w:ascii="Times New Roman" w:hAnsi="Times New Roman" w:cs="Times New Roman"/>
          <w:sz w:val="20"/>
          <w:lang w:val="uk-UA"/>
        </w:rPr>
        <w:t>3</w:t>
      </w:r>
    </w:p>
    <w:p w:rsidR="00C07DBB" w:rsidRDefault="00C07DBB" w:rsidP="00C07DBB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602AC8" w:rsidRPr="00DD6126" w:rsidRDefault="00602AC8" w:rsidP="00602A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D6126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КОМУНАЛЬНИЙ ВИЩИЙ НАВЧАЛЬНИЙ ЗАКЛАД </w:t>
      </w:r>
    </w:p>
    <w:p w:rsidR="00602AC8" w:rsidRPr="00DD6126" w:rsidRDefault="00602AC8" w:rsidP="00602A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DD6126">
        <w:rPr>
          <w:rFonts w:ascii="Times New Roman" w:hAnsi="Times New Roman" w:cs="Times New Roman"/>
          <w:b/>
          <w:bCs/>
          <w:sz w:val="24"/>
          <w:szCs w:val="28"/>
          <w:lang w:val="uk-UA"/>
        </w:rPr>
        <w:t>«ХАРКІВСЬКА АКАДЕМІЯ НЕПЕРЕРВНОЇ ОСВІТИ»</w:t>
      </w:r>
    </w:p>
    <w:p w:rsidR="00602AC8" w:rsidRPr="003F7AD6" w:rsidRDefault="00602AC8" w:rsidP="00602AC8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Cs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602AC8" w:rsidRPr="00F42BB3" w:rsidTr="00C13FAF">
        <w:tc>
          <w:tcPr>
            <w:tcW w:w="2492" w:type="pct"/>
          </w:tcPr>
          <w:p w:rsidR="00602AC8" w:rsidRPr="00F42BB3" w:rsidRDefault="00602AC8" w:rsidP="00C13F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602AC8" w:rsidRPr="00F42BB3" w:rsidRDefault="00602AC8" w:rsidP="00C13F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Проректор з навчальної роботи </w:t>
            </w:r>
          </w:p>
          <w:p w:rsidR="00602AC8" w:rsidRPr="00F42BB3" w:rsidRDefault="00602AC8" w:rsidP="00C13FA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830B3">
              <w:rPr>
                <w:rFonts w:ascii="Times New Roman" w:hAnsi="Times New Roman" w:cs="Times New Roman"/>
                <w:i/>
                <w:lang w:val="uk-UA"/>
              </w:rPr>
              <w:t xml:space="preserve">підписано  </w:t>
            </w:r>
            <w:r w:rsidRPr="00F42BB3">
              <w:rPr>
                <w:rFonts w:ascii="Times New Roman" w:hAnsi="Times New Roman" w:cs="Times New Roman"/>
                <w:lang w:val="uk-UA"/>
              </w:rPr>
              <w:t>С.А. Мельник</w:t>
            </w:r>
          </w:p>
          <w:p w:rsidR="00602AC8" w:rsidRPr="00F42BB3" w:rsidRDefault="00602AC8" w:rsidP="00C13F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602AC8" w:rsidRPr="00F42BB3" w:rsidRDefault="00602AC8" w:rsidP="00C13FAF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ЗАТВЕРДЖЕНО </w:t>
            </w:r>
          </w:p>
          <w:p w:rsidR="00602AC8" w:rsidRPr="00F42BB3" w:rsidRDefault="00602AC8" w:rsidP="00C13FAF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Вченою радою</w:t>
            </w:r>
          </w:p>
          <w:p w:rsidR="00602AC8" w:rsidRPr="00F42BB3" w:rsidRDefault="00602AC8" w:rsidP="00C13FAF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КВНЗ «Харківська академія</w:t>
            </w:r>
          </w:p>
          <w:p w:rsidR="00602AC8" w:rsidRPr="00F42BB3" w:rsidRDefault="00602AC8" w:rsidP="00C13FAF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неперервної освіти» </w:t>
            </w:r>
          </w:p>
          <w:p w:rsidR="00602AC8" w:rsidRPr="00F42BB3" w:rsidRDefault="00602AC8" w:rsidP="00C13FAF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 xml:space="preserve">протокол №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F42BB3">
              <w:rPr>
                <w:rFonts w:ascii="Times New Roman" w:hAnsi="Times New Roman" w:cs="Times New Roman"/>
                <w:lang w:val="uk-UA"/>
              </w:rPr>
              <w:t xml:space="preserve"> від «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Pr="00F42BB3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грудня</w:t>
            </w:r>
            <w:r w:rsidRPr="00F42BB3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  <w:p w:rsidR="00602AC8" w:rsidRPr="00F42BB3" w:rsidRDefault="00602AC8" w:rsidP="00C13FAF">
            <w:pPr>
              <w:spacing w:after="0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2BB3">
              <w:rPr>
                <w:rFonts w:ascii="Times New Roman" w:hAnsi="Times New Roman" w:cs="Times New Roman"/>
                <w:lang w:val="uk-UA"/>
              </w:rPr>
              <w:t>Голова вченої ради</w:t>
            </w:r>
          </w:p>
          <w:p w:rsidR="00602AC8" w:rsidRPr="00F42BB3" w:rsidRDefault="00602AC8" w:rsidP="00C13F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830B3">
              <w:rPr>
                <w:rFonts w:ascii="Times New Roman" w:hAnsi="Times New Roman" w:cs="Times New Roman"/>
                <w:i/>
                <w:lang w:val="uk-UA"/>
              </w:rPr>
              <w:t xml:space="preserve">підписано </w:t>
            </w:r>
            <w:r w:rsidRPr="00F42BB3">
              <w:rPr>
                <w:rFonts w:ascii="Times New Roman" w:hAnsi="Times New Roman" w:cs="Times New Roman"/>
                <w:lang w:val="uk-UA"/>
              </w:rPr>
              <w:t xml:space="preserve">Л.Д. </w:t>
            </w:r>
            <w:proofErr w:type="spellStart"/>
            <w:r w:rsidRPr="00F42BB3">
              <w:rPr>
                <w:rFonts w:ascii="Times New Roman" w:hAnsi="Times New Roman" w:cs="Times New Roman"/>
                <w:lang w:val="uk-UA"/>
              </w:rPr>
              <w:t>Покроєва</w:t>
            </w:r>
            <w:proofErr w:type="spellEnd"/>
          </w:p>
          <w:p w:rsidR="00602AC8" w:rsidRPr="00F42BB3" w:rsidRDefault="00602AC8" w:rsidP="00C13F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«04» 01. 2021</w:t>
            </w:r>
          </w:p>
          <w:p w:rsidR="00602AC8" w:rsidRPr="00F42BB3" w:rsidRDefault="00602AC8" w:rsidP="00C13F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02AC8" w:rsidRPr="003F7AD6" w:rsidRDefault="00602AC8" w:rsidP="00602A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02AC8" w:rsidRPr="009F4420" w:rsidRDefault="00602AC8" w:rsidP="00602AC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602AC8" w:rsidRPr="009F4420" w:rsidRDefault="00602AC8" w:rsidP="00602AC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AC8" w:rsidRPr="00970BBE" w:rsidRDefault="00602AC8" w:rsidP="00602AC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44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</w:t>
      </w:r>
      <w:r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педагогічних працівників </w:t>
      </w:r>
    </w:p>
    <w:p w:rsidR="00602AC8" w:rsidRDefault="00602AC8" w:rsidP="00602AC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602AC8" w:rsidRPr="009F4420" w:rsidRDefault="00602AC8" w:rsidP="00602AC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фізики, астрономії</w:t>
      </w:r>
      <w:r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математики</w:t>
      </w:r>
      <w:r w:rsidRPr="009F442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</w:p>
    <w:p w:rsidR="00602AC8" w:rsidRPr="003F7AD6" w:rsidRDefault="00602AC8" w:rsidP="00602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AC8" w:rsidRPr="003F7AD6" w:rsidRDefault="00602AC8" w:rsidP="00602A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1BFF" w:rsidRDefault="00602AC8" w:rsidP="0060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0B3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02AC8" w:rsidRPr="007830B3" w:rsidRDefault="00602AC8" w:rsidP="00602AC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7830B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830B3">
        <w:rPr>
          <w:rFonts w:ascii="Times New Roman" w:hAnsi="Times New Roman" w:cs="Times New Roman"/>
          <w:b/>
          <w:sz w:val="28"/>
          <w:szCs w:val="28"/>
        </w:rPr>
        <w:t>2</w:t>
      </w:r>
      <w:r w:rsidRPr="007830B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02AC8" w:rsidRPr="00602AC8" w:rsidRDefault="00602AC8" w:rsidP="00C07DBB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C07DBB" w:rsidRDefault="00C07DBB" w:rsidP="00191C69">
      <w:pPr>
        <w:pStyle w:val="1"/>
        <w:spacing w:before="0" w:after="0"/>
        <w:jc w:val="center"/>
        <w:rPr>
          <w:rFonts w:ascii="Times New Roman" w:hAnsi="Times New Roman"/>
        </w:rPr>
      </w:pPr>
      <w:r w:rsidRPr="003F7AD6">
        <w:rPr>
          <w:rFonts w:ascii="Times New Roman" w:hAnsi="Times New Roman"/>
          <w:iCs/>
          <w:szCs w:val="28"/>
          <w:lang w:val="ru-RU"/>
        </w:rPr>
        <w:br w:type="page"/>
      </w:r>
    </w:p>
    <w:p w:rsidR="000F3FA2" w:rsidRPr="000F3FA2" w:rsidRDefault="000F3FA2" w:rsidP="000F3F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0F3F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ПОЯСНЮВАЛЬНА ЗАПИСКА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Комплексну програму підвищення кваліфікації учителів та викладачів </w:t>
      </w:r>
      <w:r w:rsidR="00CF5869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фізики, астрономії та математики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Законами України</w:t>
      </w:r>
      <w:r w:rsidRPr="00904B2A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 xml:space="preserve">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0" w:name="n863"/>
      <w:bookmarkEnd w:id="0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1" w:name="n864"/>
      <w:bookmarkStart w:id="2" w:name="n866"/>
      <w:bookmarkEnd w:id="1"/>
      <w:bookmarkEnd w:id="2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bookmarkStart w:id="3" w:name="n867"/>
      <w:bookmarkStart w:id="4" w:name="n868"/>
      <w:bookmarkStart w:id="5" w:name="n844"/>
      <w:bookmarkEnd w:id="3"/>
      <w:bookmarkEnd w:id="4"/>
      <w:bookmarkEnd w:id="5"/>
      <w:r w:rsidRPr="00904B2A">
        <w:rPr>
          <w:rFonts w:ascii="Times New Roman" w:eastAsia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904B2A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у </w:t>
      </w:r>
      <w:proofErr w:type="spellStart"/>
      <w:r w:rsidRPr="00904B2A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міжатестаційний</w:t>
      </w:r>
      <w:proofErr w:type="spellEnd"/>
      <w:r w:rsidRPr="00904B2A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 w:rsidRPr="00904B2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Метою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педагогів закладів освіти є оновлення та розширення їх теоретичних і практичних знань, умінь і </w:t>
      </w:r>
      <w:proofErr w:type="spellStart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умовах зростання вимог до рівня професійної кваліфікації; оволодіння ними </w:t>
      </w: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на основі </w:t>
      </w:r>
      <w:proofErr w:type="spellStart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андрагогічних</w:t>
      </w:r>
      <w:proofErr w:type="spellEnd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підходів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сучасними методами розв’язання </w:t>
      </w:r>
      <w:proofErr w:type="spellStart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-педагогічних завдань, що постали перед Новою українською школою.</w:t>
      </w:r>
    </w:p>
    <w:p w:rsidR="000F3FA2" w:rsidRPr="00904B2A" w:rsidRDefault="000F3FA2" w:rsidP="000F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0F3FA2" w:rsidRPr="00904B2A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6" w:name="n75"/>
      <w:bookmarkEnd w:id="6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розвиток професійних </w:t>
      </w:r>
      <w:proofErr w:type="spellStart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(знання навчального предмета, фахових </w:t>
      </w:r>
      <w:proofErr w:type="spellStart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методик</w:t>
      </w:r>
      <w:proofErr w:type="spellEnd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технологій);</w:t>
      </w:r>
    </w:p>
    <w:p w:rsidR="000F3FA2" w:rsidRPr="00904B2A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7" w:name="n76"/>
      <w:bookmarkEnd w:id="7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окреслення шляхів формування в учнів</w:t>
      </w:r>
      <w:r w:rsidRPr="00904B2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необхідних кожній сучасній людині для успішної життєдіяльності</w:t>
      </w: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ключових </w:t>
      </w:r>
      <w:proofErr w:type="spellStart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визначених </w:t>
      </w:r>
      <w:hyperlink r:id="rId5" w:anchor="n187" w:tgtFrame="_blank" w:history="1">
        <w:r w:rsidRPr="00904B2A">
          <w:rPr>
            <w:rFonts w:ascii="Times New Roman" w:eastAsia="Batang" w:hAnsi="Times New Roman" w:cs="Times New Roman"/>
            <w:sz w:val="26"/>
            <w:szCs w:val="26"/>
            <w:lang w:val="uk-UA" w:eastAsia="ko-KR"/>
          </w:rPr>
          <w:t>частиною першою</w:t>
        </w:r>
      </w:hyperlink>
      <w:r w:rsidR="00CF5869"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 статті 12 Закону України «</w:t>
      </w: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Про освіту</w:t>
      </w:r>
      <w:r w:rsidR="00CF5869"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»</w:t>
      </w: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зокрема: мовленнєвої, цифрової, комунікаційної, інклюзивної, </w:t>
      </w:r>
      <w:proofErr w:type="spellStart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емоційно</w:t>
      </w:r>
      <w:proofErr w:type="spellEnd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-етичної, також </w:t>
      </w:r>
      <w:r w:rsidRPr="00904B2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громадянських та соціальних </w:t>
      </w:r>
      <w:proofErr w:type="spellStart"/>
      <w:r w:rsidRPr="00904B2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компетентностей</w:t>
      </w:r>
      <w:proofErr w:type="spellEnd"/>
      <w:r w:rsidRPr="00904B2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;</w:t>
      </w:r>
    </w:p>
    <w:p w:rsidR="000F3FA2" w:rsidRPr="00904B2A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8" w:name="n77"/>
      <w:bookmarkEnd w:id="8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9" w:name="n78"/>
      <w:bookmarkEnd w:id="9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0F3FA2" w:rsidRPr="00904B2A" w:rsidRDefault="000F3FA2" w:rsidP="000F3FA2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0" w:name="n79"/>
      <w:bookmarkEnd w:id="10"/>
      <w:r w:rsidRPr="00904B2A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0F3FA2" w:rsidRPr="00904B2A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1" w:name="n80"/>
      <w:bookmarkEnd w:id="11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Комплексна програма підвищення кваліфікації педагогів розрахована на 150 годин та містить освітні програми на 60 годин (основні курси), 30 годин (короткотривалі курси й фахові спецкурси)та 15 годин (тематичні спецкурси).</w:t>
      </w:r>
    </w:p>
    <w:p w:rsidR="000F3FA2" w:rsidRPr="00904B2A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Пропонуються </w:t>
      </w:r>
      <w:r w:rsidR="00677F46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три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освітні програми </w:t>
      </w:r>
      <w:r w:rsidRPr="00904B2A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основних курсів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«Сучасні технології в умовах дистанційного та змішаного навчання </w:t>
      </w:r>
      <w:r w:rsidR="00677F46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фізики</w:t>
      </w:r>
      <w:r w:rsidR="00063CB5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», «Сучасні технології в умовах дистанційного та змішаного навчання фізики та астрономії», «Сучасні технології в умовах дистанційного та змішаного навчання фізики та математики»,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розрахован</w:t>
      </w:r>
      <w:r w:rsidR="00063CB5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педагогів, які вже мають певний досвід роботи та неодноразово проходили навчання на курсах підвищення кваліфікації; в </w:t>
      </w:r>
      <w:r w:rsidR="00063CB5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них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63CB5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значна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уваг</w:t>
      </w:r>
      <w:r w:rsidR="00063CB5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приділен</w:t>
      </w:r>
      <w:r w:rsidR="00063CB5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інноваційним технологіям навчання, особливостям запровадження дистанційної форми навчання, </w:t>
      </w:r>
      <w:r w:rsidR="00637161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методиці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використання онлайн-сервісів тощо.</w:t>
      </w:r>
    </w:p>
    <w:p w:rsidR="000F3FA2" w:rsidRPr="00904B2A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Тематичні спецкурси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0F3FA2" w:rsidRPr="00904B2A" w:rsidRDefault="000F3FA2" w:rsidP="000F3FA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Комплексна програма підвищення кваліфікації учителів та викладачів </w:t>
      </w:r>
      <w:r w:rsidR="00637161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фізики, астрономії та математики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має </w:t>
      </w:r>
      <w:r w:rsidRPr="00904B2A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такі складові:</w:t>
      </w:r>
    </w:p>
    <w:p w:rsidR="000F3FA2" w:rsidRPr="00904B2A" w:rsidRDefault="000F3FA2" w:rsidP="000F3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курсів підвищення кваліфікації педагогічних працівникі</w:t>
      </w:r>
      <w:r w:rsidR="00EC6C72">
        <w:rPr>
          <w:rFonts w:ascii="Times New Roman" w:eastAsia="Times New Roman" w:hAnsi="Times New Roman" w:cs="Times New Roman"/>
          <w:sz w:val="26"/>
          <w:szCs w:val="26"/>
          <w:lang w:val="uk-UA"/>
        </w:rPr>
        <w:t>в за освітньою програмою з теми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«Сучасні технології в умовах дистанційного  та змішаного навчання </w:t>
      </w:r>
      <w:r w:rsidR="00637161"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фізики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="00EC6C72" w:rsidRPr="00EC6C72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60 годин;</w:t>
      </w:r>
    </w:p>
    <w:p w:rsidR="00637161" w:rsidRPr="00904B2A" w:rsidRDefault="00637161" w:rsidP="006371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курсів підвищення кваліфікації педагогічних працівників</w:t>
      </w:r>
      <w:r w:rsidR="00EC6C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освітньою програмою з теми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«Сучасні технології в умовах дистанційного  та змішаного </w:t>
      </w:r>
      <w:r w:rsidR="00EC6C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навчання фізики та астрономії»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C6C72" w:rsidRPr="00EC6C72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="00EC6C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60 годин;</w:t>
      </w:r>
    </w:p>
    <w:p w:rsidR="00637161" w:rsidRPr="00904B2A" w:rsidRDefault="00637161" w:rsidP="006371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курсів підвищення кваліфікації педагогічних працівників з</w:t>
      </w:r>
      <w:r w:rsidR="00EC6C72">
        <w:rPr>
          <w:rFonts w:ascii="Times New Roman" w:eastAsia="Times New Roman" w:hAnsi="Times New Roman" w:cs="Times New Roman"/>
          <w:sz w:val="26"/>
          <w:szCs w:val="26"/>
          <w:lang w:val="uk-UA"/>
        </w:rPr>
        <w:t>а освітньою програмою з теми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«Сучасні технології в умовах дистанційного  та змішаного навчання фізики та математики» </w:t>
      </w:r>
      <w:r w:rsidR="00EC6C72" w:rsidRPr="00EC6C72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="00EC6C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60 годин;</w:t>
      </w:r>
    </w:p>
    <w:p w:rsidR="00322DB9" w:rsidRPr="00904B2A" w:rsidRDefault="00322DB9" w:rsidP="00EC6C7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короткотривалих курсів підвищення кваліфікаці</w:t>
      </w:r>
      <w:r w:rsidR="00EC6C72">
        <w:rPr>
          <w:rFonts w:ascii="Times New Roman" w:eastAsia="Times New Roman" w:hAnsi="Times New Roman" w:cs="Times New Roman"/>
          <w:sz w:val="26"/>
          <w:szCs w:val="26"/>
          <w:lang w:val="uk-UA"/>
        </w:rPr>
        <w:t>ї за освітньою програмою з теми</w:t>
      </w:r>
      <w:bookmarkStart w:id="12" w:name="_GoBack"/>
      <w:bookmarkEnd w:id="12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«Формування ключових та предметних </w:t>
      </w:r>
      <w:proofErr w:type="spellStart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учнів на </w:t>
      </w:r>
      <w:proofErr w:type="spellStart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уроках</w:t>
      </w:r>
      <w:proofErr w:type="spellEnd"/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математики» </w:t>
      </w:r>
      <w:r w:rsidR="00EC6C72" w:rsidRPr="00EC6C72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30 годин;</w:t>
      </w:r>
    </w:p>
    <w:p w:rsidR="000F3FA2" w:rsidRPr="00904B2A" w:rsidRDefault="000F3FA2" w:rsidP="00DF38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освітніх програм тематичних спецкурсів –15 годин,</w:t>
      </w:r>
    </w:p>
    <w:p w:rsidR="000F3FA2" w:rsidRPr="00904B2A" w:rsidRDefault="000F3FA2" w:rsidP="000F3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пролонгованих методичних заходів.</w:t>
      </w:r>
    </w:p>
    <w:p w:rsidR="000F3FA2" w:rsidRPr="00904B2A" w:rsidRDefault="000F3FA2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04B2A">
        <w:rPr>
          <w:rFonts w:ascii="Times New Roman" w:eastAsia="Times New Roman" w:hAnsi="Times New Roman" w:cs="Times New Roman"/>
          <w:sz w:val="26"/>
          <w:szCs w:val="26"/>
          <w:lang w:val="uk-UA"/>
        </w:rPr>
        <w:t>За підсумками навчання на курсах підвищення кваліфікації (60 год.) видається свідоцтво; тематичних спецкурсах (15 год.), участі у пролонгованих методичних заходах – сертифікат.</w:t>
      </w:r>
    </w:p>
    <w:p w:rsidR="003A2109" w:rsidRDefault="003A2109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2109" w:rsidRDefault="003A2109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B2A" w:rsidRDefault="00904B2A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B2A" w:rsidRDefault="00904B2A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4B2A" w:rsidRPr="000F3FA2" w:rsidRDefault="00904B2A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3FA2" w:rsidRDefault="000F3FA2" w:rsidP="000F3F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3" w:name="_Toc22808409"/>
      <w:bookmarkStart w:id="14" w:name="_Toc23409400"/>
      <w:bookmarkStart w:id="15" w:name="_Toc29981561"/>
      <w:r w:rsidRPr="000F3F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КУРИКУЛУМ</w:t>
      </w:r>
      <w:bookmarkEnd w:id="13"/>
      <w:bookmarkEnd w:id="14"/>
      <w:bookmarkEnd w:id="15"/>
    </w:p>
    <w:p w:rsidR="00785E67" w:rsidRPr="000F3FA2" w:rsidRDefault="00785E67" w:rsidP="000F3F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34"/>
        <w:gridCol w:w="5703"/>
        <w:gridCol w:w="1218"/>
      </w:tblGrid>
      <w:tr w:rsidR="000F3FA2" w:rsidRPr="003E1C98" w:rsidTr="00904B2A">
        <w:trPr>
          <w:cantSplit/>
          <w:trHeight w:val="557"/>
        </w:trPr>
        <w:tc>
          <w:tcPr>
            <w:tcW w:w="3003" w:type="dxa"/>
            <w:gridSpan w:val="2"/>
          </w:tcPr>
          <w:p w:rsidR="000F3FA2" w:rsidRPr="003E1C98" w:rsidRDefault="000F3FA2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FA2" w:rsidRPr="003E1C98" w:rsidRDefault="000F3FA2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E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E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5703" w:type="dxa"/>
          </w:tcPr>
          <w:p w:rsidR="000F3FA2" w:rsidRPr="003E1C98" w:rsidRDefault="000F3FA2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F3FA2" w:rsidRPr="003E1C98" w:rsidRDefault="000F3FA2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218" w:type="dxa"/>
          </w:tcPr>
          <w:p w:rsidR="000F3FA2" w:rsidRPr="003E1C98" w:rsidRDefault="000F3FA2" w:rsidP="00904B2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E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E1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</w:t>
            </w:r>
          </w:p>
        </w:tc>
      </w:tr>
      <w:tr w:rsidR="000F3FA2" w:rsidRPr="003E1C98" w:rsidTr="00904B2A">
        <w:trPr>
          <w:cantSplit/>
          <w:trHeight w:val="715"/>
        </w:trPr>
        <w:tc>
          <w:tcPr>
            <w:tcW w:w="2269" w:type="dxa"/>
            <w:vMerge w:val="restart"/>
            <w:textDirection w:val="btLr"/>
            <w:vAlign w:val="center"/>
          </w:tcPr>
          <w:p w:rsidR="000F3FA2" w:rsidRPr="003E1C98" w:rsidRDefault="00AB67F6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E1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 програми курсів підвищення кваліфікації</w:t>
            </w:r>
          </w:p>
        </w:tc>
        <w:tc>
          <w:tcPr>
            <w:tcW w:w="734" w:type="dxa"/>
            <w:vAlign w:val="center"/>
          </w:tcPr>
          <w:p w:rsidR="000F3FA2" w:rsidRPr="003E1C98" w:rsidRDefault="000F3FA2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703" w:type="dxa"/>
            <w:vAlign w:val="center"/>
          </w:tcPr>
          <w:p w:rsidR="000F3FA2" w:rsidRPr="003E1C98" w:rsidRDefault="00235C7B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C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в умовах дистанційного  та змішаного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1218" w:type="dxa"/>
            <w:vAlign w:val="center"/>
          </w:tcPr>
          <w:p w:rsidR="000F3FA2" w:rsidRPr="003E1C98" w:rsidRDefault="000F3FA2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35C7B" w:rsidRPr="003E1C98" w:rsidTr="00904B2A">
        <w:trPr>
          <w:cantSplit/>
          <w:trHeight w:val="715"/>
        </w:trPr>
        <w:tc>
          <w:tcPr>
            <w:tcW w:w="2269" w:type="dxa"/>
            <w:vMerge/>
            <w:textDirection w:val="btLr"/>
            <w:vAlign w:val="center"/>
          </w:tcPr>
          <w:p w:rsidR="00235C7B" w:rsidRPr="003E1C98" w:rsidRDefault="00235C7B" w:rsidP="00904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235C7B" w:rsidRPr="003E1C98" w:rsidRDefault="00235C7B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703" w:type="dxa"/>
            <w:vAlign w:val="center"/>
          </w:tcPr>
          <w:p w:rsidR="00235C7B" w:rsidRPr="003E1C98" w:rsidRDefault="00235C7B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C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в умовах дистанційного  та змішаного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фізики та астрономії</w:t>
            </w:r>
          </w:p>
        </w:tc>
        <w:tc>
          <w:tcPr>
            <w:tcW w:w="1218" w:type="dxa"/>
            <w:vAlign w:val="center"/>
          </w:tcPr>
          <w:p w:rsidR="00235C7B" w:rsidRPr="003E1C98" w:rsidRDefault="00235C7B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0F3FA2" w:rsidRPr="003E1C98" w:rsidTr="00904B2A">
        <w:trPr>
          <w:cantSplit/>
          <w:trHeight w:val="726"/>
        </w:trPr>
        <w:tc>
          <w:tcPr>
            <w:tcW w:w="2269" w:type="dxa"/>
            <w:vMerge/>
            <w:vAlign w:val="center"/>
          </w:tcPr>
          <w:p w:rsidR="000F3FA2" w:rsidRPr="003E1C98" w:rsidRDefault="000F3FA2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vAlign w:val="center"/>
          </w:tcPr>
          <w:p w:rsidR="000F3FA2" w:rsidRPr="003E1C98" w:rsidRDefault="00235C7B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0F3FA2"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03" w:type="dxa"/>
            <w:vAlign w:val="center"/>
          </w:tcPr>
          <w:p w:rsidR="000F3FA2" w:rsidRPr="003E1C98" w:rsidRDefault="000F3FA2" w:rsidP="00904B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в умовах дистанційного  та змішаного навчання </w:t>
            </w:r>
            <w:r w:rsidR="00235C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фізики та математики</w:t>
            </w:r>
          </w:p>
        </w:tc>
        <w:tc>
          <w:tcPr>
            <w:tcW w:w="1218" w:type="dxa"/>
            <w:vAlign w:val="center"/>
          </w:tcPr>
          <w:p w:rsidR="000F3FA2" w:rsidRPr="003E1C98" w:rsidRDefault="000F3FA2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322DB9" w:rsidRPr="003E1C98" w:rsidTr="00904B2A">
        <w:trPr>
          <w:cantSplit/>
          <w:trHeight w:val="1220"/>
        </w:trPr>
        <w:tc>
          <w:tcPr>
            <w:tcW w:w="2269" w:type="dxa"/>
            <w:textDirection w:val="btLr"/>
            <w:vAlign w:val="center"/>
          </w:tcPr>
          <w:p w:rsidR="00322DB9" w:rsidRPr="0054247D" w:rsidRDefault="00322DB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22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322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22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 короткотривалих курсів підвищення кваліфікації</w:t>
            </w:r>
          </w:p>
        </w:tc>
        <w:tc>
          <w:tcPr>
            <w:tcW w:w="734" w:type="dxa"/>
            <w:vAlign w:val="center"/>
          </w:tcPr>
          <w:p w:rsidR="00322DB9" w:rsidRPr="00322DB9" w:rsidRDefault="00322DB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  <w:vAlign w:val="center"/>
          </w:tcPr>
          <w:p w:rsidR="00322DB9" w:rsidRPr="00322DB9" w:rsidRDefault="00322DB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ключових та предметних </w:t>
            </w:r>
            <w:proofErr w:type="spellStart"/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учнів на </w:t>
            </w:r>
            <w:proofErr w:type="spellStart"/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1218" w:type="dxa"/>
            <w:vAlign w:val="center"/>
          </w:tcPr>
          <w:p w:rsidR="00322DB9" w:rsidRPr="00322DB9" w:rsidRDefault="00322DB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2D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84880" w:rsidRPr="003E1C98" w:rsidTr="00904B2A">
        <w:trPr>
          <w:cantSplit/>
          <w:trHeight w:val="404"/>
        </w:trPr>
        <w:tc>
          <w:tcPr>
            <w:tcW w:w="2269" w:type="dxa"/>
            <w:vMerge w:val="restart"/>
            <w:textDirection w:val="btLr"/>
            <w:vAlign w:val="center"/>
          </w:tcPr>
          <w:p w:rsidR="00284880" w:rsidRPr="003E1C98" w:rsidRDefault="00284880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  фахових спецкурсів</w:t>
            </w:r>
          </w:p>
        </w:tc>
        <w:tc>
          <w:tcPr>
            <w:tcW w:w="734" w:type="dxa"/>
            <w:vAlign w:val="center"/>
          </w:tcPr>
          <w:p w:rsidR="00284880" w:rsidRPr="003E1C98" w:rsidRDefault="00284880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  <w:vAlign w:val="center"/>
          </w:tcPr>
          <w:p w:rsidR="00284880" w:rsidRPr="003E1C98" w:rsidRDefault="00235C7B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18" w:type="dxa"/>
            <w:vAlign w:val="center"/>
          </w:tcPr>
          <w:p w:rsidR="00284880" w:rsidRPr="003E1C98" w:rsidRDefault="00284880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84880" w:rsidRPr="003E1C98" w:rsidTr="00904B2A">
        <w:trPr>
          <w:cantSplit/>
          <w:trHeight w:val="417"/>
        </w:trPr>
        <w:tc>
          <w:tcPr>
            <w:tcW w:w="2269" w:type="dxa"/>
            <w:vMerge/>
            <w:textDirection w:val="btLr"/>
            <w:vAlign w:val="center"/>
          </w:tcPr>
          <w:p w:rsidR="00284880" w:rsidRPr="003E1C98" w:rsidRDefault="00284880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284880" w:rsidRPr="003E1C98" w:rsidRDefault="00284880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703" w:type="dxa"/>
            <w:vAlign w:val="center"/>
          </w:tcPr>
          <w:p w:rsidR="00284880" w:rsidRPr="003E1C98" w:rsidRDefault="00235C7B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218" w:type="dxa"/>
            <w:vAlign w:val="center"/>
          </w:tcPr>
          <w:p w:rsidR="00284880" w:rsidRPr="003E1C98" w:rsidRDefault="00284880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84880" w:rsidRPr="003E1C98" w:rsidTr="00904B2A">
        <w:trPr>
          <w:cantSplit/>
          <w:trHeight w:val="422"/>
        </w:trPr>
        <w:tc>
          <w:tcPr>
            <w:tcW w:w="2269" w:type="dxa"/>
            <w:vMerge/>
            <w:textDirection w:val="btLr"/>
            <w:vAlign w:val="center"/>
          </w:tcPr>
          <w:p w:rsidR="00284880" w:rsidRPr="003E1C98" w:rsidRDefault="00284880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284880" w:rsidRPr="003E1C98" w:rsidRDefault="00284880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703" w:type="dxa"/>
            <w:vAlign w:val="center"/>
          </w:tcPr>
          <w:p w:rsidR="00284880" w:rsidRPr="003E1C98" w:rsidRDefault="00235C7B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18" w:type="dxa"/>
            <w:vAlign w:val="center"/>
          </w:tcPr>
          <w:p w:rsidR="00284880" w:rsidRPr="003E1C98" w:rsidRDefault="00284880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103A9" w:rsidRPr="003E1C98" w:rsidTr="00904B2A">
        <w:trPr>
          <w:cantSplit/>
          <w:trHeight w:val="519"/>
        </w:trPr>
        <w:tc>
          <w:tcPr>
            <w:tcW w:w="2269" w:type="dxa"/>
            <w:vMerge w:val="restart"/>
            <w:textDirection w:val="btLr"/>
            <w:vAlign w:val="center"/>
          </w:tcPr>
          <w:p w:rsidR="00F103A9" w:rsidRPr="003E1C98" w:rsidRDefault="00F103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4.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Освітні програми  тематичних спецкурсів</w:t>
            </w:r>
          </w:p>
        </w:tc>
        <w:tc>
          <w:tcPr>
            <w:tcW w:w="734" w:type="dxa"/>
            <w:vAlign w:val="center"/>
          </w:tcPr>
          <w:p w:rsidR="00F103A9" w:rsidRPr="003E1C98" w:rsidRDefault="00F103A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</w:tcPr>
          <w:p w:rsidR="00F103A9" w:rsidRPr="00F103A9" w:rsidRDefault="00AA7C3D" w:rsidP="00904B2A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методика розв’язування ключових задач курсу фізики</w:t>
            </w:r>
          </w:p>
        </w:tc>
        <w:tc>
          <w:tcPr>
            <w:tcW w:w="1218" w:type="dxa"/>
            <w:vAlign w:val="center"/>
          </w:tcPr>
          <w:p w:rsidR="00F103A9" w:rsidRPr="003E1C98" w:rsidRDefault="00F103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7C3D" w:rsidRPr="003E1C98" w:rsidTr="00904B2A">
        <w:trPr>
          <w:cantSplit/>
          <w:trHeight w:val="674"/>
        </w:trPr>
        <w:tc>
          <w:tcPr>
            <w:tcW w:w="2269" w:type="dxa"/>
            <w:vMerge/>
            <w:textDirection w:val="btLr"/>
            <w:vAlign w:val="center"/>
          </w:tcPr>
          <w:p w:rsidR="00AA7C3D" w:rsidRPr="003E1C98" w:rsidRDefault="00AA7C3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AA7C3D" w:rsidRPr="003E1C98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703" w:type="dxa"/>
          </w:tcPr>
          <w:p w:rsidR="00AA7C3D" w:rsidRPr="00F103A9" w:rsidRDefault="00AA7C3D" w:rsidP="00904B2A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Цифровий простір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природничо-математичних</w:t>
            </w:r>
            <w:proofErr w:type="spellEnd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1218" w:type="dxa"/>
          </w:tcPr>
          <w:p w:rsidR="00AA7C3D" w:rsidRDefault="00AA7C3D" w:rsidP="00904B2A">
            <w:pPr>
              <w:jc w:val="center"/>
            </w:pPr>
            <w:r w:rsidRPr="002464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7C3D" w:rsidRPr="003E1C98" w:rsidTr="00904B2A">
        <w:trPr>
          <w:cantSplit/>
          <w:trHeight w:val="388"/>
        </w:trPr>
        <w:tc>
          <w:tcPr>
            <w:tcW w:w="2269" w:type="dxa"/>
            <w:vMerge/>
            <w:textDirection w:val="btLr"/>
            <w:vAlign w:val="center"/>
          </w:tcPr>
          <w:p w:rsidR="00AA7C3D" w:rsidRPr="003E1C98" w:rsidRDefault="00AA7C3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AA7C3D" w:rsidRPr="003E1C98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703" w:type="dxa"/>
          </w:tcPr>
          <w:p w:rsidR="00AA7C3D" w:rsidRPr="00F103A9" w:rsidRDefault="00AA7C3D" w:rsidP="00904B2A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підготовки учнів до ЗНО з математики двох рівнів</w:t>
            </w:r>
          </w:p>
        </w:tc>
        <w:tc>
          <w:tcPr>
            <w:tcW w:w="1218" w:type="dxa"/>
          </w:tcPr>
          <w:p w:rsidR="00AA7C3D" w:rsidRDefault="00AA7C3D" w:rsidP="00904B2A">
            <w:pPr>
              <w:jc w:val="center"/>
            </w:pPr>
            <w:r w:rsidRPr="002464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7C3D" w:rsidRPr="003E1C98" w:rsidTr="00904B2A">
        <w:trPr>
          <w:cantSplit/>
          <w:trHeight w:val="435"/>
        </w:trPr>
        <w:tc>
          <w:tcPr>
            <w:tcW w:w="2269" w:type="dxa"/>
            <w:vMerge/>
            <w:textDirection w:val="btLr"/>
            <w:vAlign w:val="center"/>
          </w:tcPr>
          <w:p w:rsidR="00AA7C3D" w:rsidRPr="003E1C98" w:rsidRDefault="00AA7C3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AA7C3D" w:rsidRPr="003E1C98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703" w:type="dxa"/>
          </w:tcPr>
          <w:p w:rsidR="00AA7C3D" w:rsidRPr="00F103A9" w:rsidRDefault="00AA7C3D" w:rsidP="00904B2A">
            <w:pPr>
              <w:tabs>
                <w:tab w:val="left" w:pos="336"/>
              </w:tabs>
              <w:ind w:left="-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Функціонально-графічний підхід до розв’язання задач з параметром і модулем</w:t>
            </w:r>
          </w:p>
        </w:tc>
        <w:tc>
          <w:tcPr>
            <w:tcW w:w="1218" w:type="dxa"/>
          </w:tcPr>
          <w:p w:rsidR="00AA7C3D" w:rsidRPr="003E1C98" w:rsidRDefault="00AA7C3D" w:rsidP="00904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7C3D" w:rsidRPr="003E1C98" w:rsidTr="00904B2A">
        <w:trPr>
          <w:cantSplit/>
          <w:trHeight w:val="315"/>
        </w:trPr>
        <w:tc>
          <w:tcPr>
            <w:tcW w:w="2269" w:type="dxa"/>
            <w:vMerge/>
            <w:textDirection w:val="btLr"/>
            <w:vAlign w:val="center"/>
          </w:tcPr>
          <w:p w:rsidR="00AA7C3D" w:rsidRPr="003E1C98" w:rsidRDefault="00AA7C3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AA7C3D" w:rsidRPr="003E1C98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703" w:type="dxa"/>
            <w:vAlign w:val="center"/>
          </w:tcPr>
          <w:p w:rsidR="00AA7C3D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0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Актуальні питання навчання тригонометрії</w:t>
            </w:r>
          </w:p>
          <w:p w:rsidR="003A2109" w:rsidRPr="00F103A9" w:rsidRDefault="003A210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A7C3D" w:rsidRPr="003E1C98" w:rsidRDefault="00AA7C3D" w:rsidP="00904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7C3D" w:rsidRPr="003E1C98" w:rsidTr="00904B2A">
        <w:trPr>
          <w:cantSplit/>
          <w:trHeight w:val="315"/>
        </w:trPr>
        <w:tc>
          <w:tcPr>
            <w:tcW w:w="2269" w:type="dxa"/>
            <w:vMerge/>
            <w:textDirection w:val="btLr"/>
            <w:vAlign w:val="center"/>
          </w:tcPr>
          <w:p w:rsidR="00AA7C3D" w:rsidRPr="003E1C98" w:rsidRDefault="00AA7C3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AA7C3D" w:rsidRPr="003E1C98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703" w:type="dxa"/>
            <w:vAlign w:val="center"/>
          </w:tcPr>
          <w:p w:rsidR="00AA7C3D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0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Тактика розв’язування </w:t>
            </w:r>
            <w:proofErr w:type="spellStart"/>
            <w:r w:rsidRPr="00F10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олімпіадних</w:t>
            </w:r>
            <w:proofErr w:type="spellEnd"/>
            <w:r w:rsidRPr="00F103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завдань</w:t>
            </w:r>
          </w:p>
          <w:p w:rsidR="003A2109" w:rsidRPr="00F103A9" w:rsidRDefault="003A210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AA7C3D" w:rsidRPr="003E1C98" w:rsidRDefault="00AA7C3D" w:rsidP="00904B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C3D" w:rsidRPr="003E1C98" w:rsidTr="00904B2A">
        <w:trPr>
          <w:cantSplit/>
          <w:trHeight w:val="420"/>
        </w:trPr>
        <w:tc>
          <w:tcPr>
            <w:tcW w:w="2269" w:type="dxa"/>
            <w:vMerge/>
            <w:textDirection w:val="btLr"/>
            <w:vAlign w:val="center"/>
          </w:tcPr>
          <w:p w:rsidR="00AA7C3D" w:rsidRPr="003E1C98" w:rsidRDefault="00AA7C3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AA7C3D" w:rsidRPr="003E1C98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703" w:type="dxa"/>
            <w:vAlign w:val="center"/>
          </w:tcPr>
          <w:p w:rsidR="00AA7C3D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 та протидія проявам насильства: діяльність закладів освіти</w:t>
            </w:r>
          </w:p>
          <w:p w:rsidR="003A2109" w:rsidRPr="003E1C98" w:rsidRDefault="003A210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A7C3D" w:rsidRPr="003E1C98" w:rsidRDefault="00AA7C3D" w:rsidP="00904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A7C3D" w:rsidRPr="003E1C98" w:rsidTr="00904B2A">
        <w:trPr>
          <w:cantSplit/>
          <w:trHeight w:val="450"/>
        </w:trPr>
        <w:tc>
          <w:tcPr>
            <w:tcW w:w="2269" w:type="dxa"/>
            <w:vMerge/>
            <w:textDirection w:val="btLr"/>
            <w:vAlign w:val="center"/>
          </w:tcPr>
          <w:p w:rsidR="00AA7C3D" w:rsidRPr="003E1C98" w:rsidRDefault="00AA7C3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AA7C3D" w:rsidRPr="003E1C98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4.8.</w:t>
            </w:r>
          </w:p>
        </w:tc>
        <w:tc>
          <w:tcPr>
            <w:tcW w:w="5703" w:type="dxa"/>
            <w:vAlign w:val="center"/>
          </w:tcPr>
          <w:p w:rsidR="00AA7C3D" w:rsidRDefault="00AA7C3D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психосоціальної стійкості до стресу</w:t>
            </w:r>
          </w:p>
          <w:p w:rsidR="003A2109" w:rsidRPr="003E1C98" w:rsidRDefault="003A210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AA7C3D" w:rsidRPr="003E1C98" w:rsidRDefault="00AA7C3D" w:rsidP="00904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E50AA9" w:rsidRPr="003E1C98" w:rsidTr="00904B2A">
        <w:trPr>
          <w:cantSplit/>
          <w:trHeight w:val="496"/>
        </w:trPr>
        <w:tc>
          <w:tcPr>
            <w:tcW w:w="2269" w:type="dxa"/>
            <w:vMerge w:val="restart"/>
            <w:textDirection w:val="btLr"/>
            <w:vAlign w:val="center"/>
          </w:tcPr>
          <w:p w:rsidR="00F559FD" w:rsidRDefault="00F559FD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50AA9" w:rsidRPr="003E1C98" w:rsidRDefault="00E50A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5. </w:t>
            </w: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734" w:type="dxa"/>
            <w:vAlign w:val="center"/>
          </w:tcPr>
          <w:p w:rsidR="00E50AA9" w:rsidRPr="003E1C98" w:rsidRDefault="00E50AA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3" w:type="dxa"/>
            <w:vAlign w:val="center"/>
          </w:tcPr>
          <w:p w:rsidR="00E50AA9" w:rsidRPr="003E1C98" w:rsidRDefault="00E50A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Школи/онлайн-школи</w:t>
            </w:r>
          </w:p>
        </w:tc>
        <w:tc>
          <w:tcPr>
            <w:tcW w:w="1218" w:type="dxa"/>
            <w:vAlign w:val="center"/>
          </w:tcPr>
          <w:p w:rsidR="00E50AA9" w:rsidRPr="003E1C98" w:rsidRDefault="00E50A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AA9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E50AA9" w:rsidRPr="003E1C98" w:rsidRDefault="00E50A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E50AA9" w:rsidRPr="003E1C98" w:rsidRDefault="00E50AA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1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703" w:type="dxa"/>
            <w:vAlign w:val="center"/>
          </w:tcPr>
          <w:p w:rsidR="00E50AA9" w:rsidRPr="00BC3A77" w:rsidRDefault="00E50AA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3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за темою «Інтеграція ключових умінь ХХІ століття в навчальні предмети Нової української школи»</w:t>
            </w:r>
          </w:p>
        </w:tc>
        <w:tc>
          <w:tcPr>
            <w:tcW w:w="1218" w:type="dxa"/>
            <w:vMerge w:val="restart"/>
            <w:vAlign w:val="center"/>
          </w:tcPr>
          <w:p w:rsidR="00E50AA9" w:rsidRPr="003E1C98" w:rsidRDefault="00E50AA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57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окремим планом</w:t>
            </w:r>
          </w:p>
        </w:tc>
      </w:tr>
      <w:tr w:rsidR="00E50AA9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E50AA9" w:rsidRPr="003E1C98" w:rsidRDefault="00E50A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E50AA9" w:rsidRPr="003E1C98" w:rsidRDefault="00E50AA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9" w:rsidRPr="00BC3A77" w:rsidRDefault="00E50AA9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4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молодого вчителя математики «Ресурсні зустрічі: Перші кроки до педагогічної майстерності»</w:t>
            </w:r>
          </w:p>
        </w:tc>
        <w:tc>
          <w:tcPr>
            <w:tcW w:w="1218" w:type="dxa"/>
            <w:vMerge/>
            <w:vAlign w:val="center"/>
          </w:tcPr>
          <w:p w:rsidR="00E50AA9" w:rsidRPr="003E1C98" w:rsidRDefault="00E50AA9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4B2A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904B2A" w:rsidRPr="003E1C98" w:rsidRDefault="00904B2A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904B2A" w:rsidRDefault="00904B2A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A" w:rsidRPr="0054247D" w:rsidRDefault="00904B2A" w:rsidP="009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B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молодого класного керівника закладу загальної середньої освіти</w:t>
            </w:r>
          </w:p>
        </w:tc>
        <w:tc>
          <w:tcPr>
            <w:tcW w:w="1218" w:type="dxa"/>
            <w:vAlign w:val="center"/>
          </w:tcPr>
          <w:p w:rsidR="00904B2A" w:rsidRPr="003E1C98" w:rsidRDefault="00904B2A" w:rsidP="009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BA0039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Педагогічн</w:t>
            </w:r>
            <w:proofErr w:type="spellEnd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майстерн</w:t>
            </w:r>
            <w:proofErr w:type="spellEnd"/>
            <w:r w:rsidRPr="009B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1218" w:type="dxa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E82FD5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9B2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Педагогічна майстерня «Профілактика і вирішення конфлікту з використанням медіації»</w:t>
            </w:r>
          </w:p>
        </w:tc>
        <w:tc>
          <w:tcPr>
            <w:tcW w:w="1218" w:type="dxa"/>
            <w:vAlign w:val="center"/>
          </w:tcPr>
          <w:p w:rsidR="00F559FD" w:rsidRPr="00A64FEE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4FEE">
              <w:rPr>
                <w:rFonts w:ascii="Times New Roman" w:eastAsia="Times New Roman" w:hAnsi="Times New Roman" w:cs="Times New Roman"/>
                <w:lang w:val="uk-UA"/>
              </w:rPr>
              <w:t>за окремим планом</w:t>
            </w: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Pr="003E1C98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BC3A77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Система заходів щодо супроводу впровадження  </w:t>
            </w:r>
          </w:p>
        </w:tc>
        <w:tc>
          <w:tcPr>
            <w:tcW w:w="1218" w:type="dxa"/>
            <w:vMerge w:val="restart"/>
            <w:vAlign w:val="center"/>
          </w:tcPr>
          <w:p w:rsidR="00F559FD" w:rsidRDefault="00F559FD" w:rsidP="0048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A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окремим </w:t>
            </w:r>
          </w:p>
          <w:p w:rsidR="00F559FD" w:rsidRPr="003E1C98" w:rsidRDefault="00F559FD" w:rsidP="0048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A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планом</w:t>
            </w: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3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BC3A77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2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B2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246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A55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якості підготовки учнів Харківської області до Всеукраїнських учнівських олімпіад і турнірів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18" w:type="dxa"/>
            <w:vMerge/>
            <w:vAlign w:val="center"/>
          </w:tcPr>
          <w:p w:rsidR="00F559FD" w:rsidRPr="0054247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3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ого комплексного освітнього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кту</w:t>
            </w:r>
            <w:proofErr w:type="spellEnd"/>
            <w:r w:rsidRPr="00E82F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«Модернізація змісту та форм підготовки учнів до зовнішнього незалежного оцінювання в закладах загальної середньої освіти»</w:t>
            </w:r>
          </w:p>
        </w:tc>
        <w:tc>
          <w:tcPr>
            <w:tcW w:w="1218" w:type="dxa"/>
            <w:vMerge/>
            <w:vAlign w:val="center"/>
          </w:tcPr>
          <w:p w:rsidR="00F559FD" w:rsidRPr="0054247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3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BC3A77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регіонального комплексного пілотного освітнього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«Підвищення компетентності педагогічних працівників щодо розвитку читацької, математичної та природничо-наукової грамотності учнів в умовах підготовки до PISA-2021»</w:t>
            </w:r>
          </w:p>
        </w:tc>
        <w:tc>
          <w:tcPr>
            <w:tcW w:w="1218" w:type="dxa"/>
            <w:vMerge/>
            <w:vAlign w:val="center"/>
          </w:tcPr>
          <w:p w:rsidR="00F559FD" w:rsidRPr="0054247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3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BC3A77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регіонального пілотного освітнього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«Створення системи внутрішнього моніторингу забезпечення якості освіти в ЗЗСО»</w:t>
            </w:r>
          </w:p>
        </w:tc>
        <w:tc>
          <w:tcPr>
            <w:tcW w:w="1218" w:type="dxa"/>
            <w:vMerge/>
            <w:vAlign w:val="center"/>
          </w:tcPr>
          <w:p w:rsidR="00F559FD" w:rsidRPr="0054247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3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Pr="00BC3A77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регіонального освітнього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«Моніторинг у сфері загальної середньої освіти в умовах розбудови сучасної української школи»</w:t>
            </w:r>
          </w:p>
        </w:tc>
        <w:tc>
          <w:tcPr>
            <w:tcW w:w="1218" w:type="dxa"/>
            <w:vMerge/>
            <w:vAlign w:val="center"/>
          </w:tcPr>
          <w:p w:rsidR="00F559FD" w:rsidRPr="0054247D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3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«Особливості нормативно-правового та методичного забезпечення освітнього процесу Нової української школи»</w:t>
            </w:r>
          </w:p>
        </w:tc>
        <w:tc>
          <w:tcPr>
            <w:tcW w:w="1218" w:type="dxa"/>
            <w:vMerge/>
            <w:vAlign w:val="center"/>
          </w:tcPr>
          <w:p w:rsidR="00F559FD" w:rsidRPr="0054247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9FD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F559FD" w:rsidRPr="003E1C98" w:rsidRDefault="00F559FD" w:rsidP="00F5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F559FD" w:rsidRDefault="00F559FD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8361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F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218" w:type="dxa"/>
            <w:vMerge/>
            <w:vAlign w:val="center"/>
          </w:tcPr>
          <w:p w:rsidR="00F559FD" w:rsidRPr="0054247D" w:rsidRDefault="00F559FD" w:rsidP="00F5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117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836117" w:rsidRPr="003E1C98" w:rsidRDefault="00836117" w:rsidP="0083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836117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7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організаційно-методичного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«Обласна тематична відкрита виставка ефективного педагогічного досвіду  «Освіта Харківщини ХХІ століття»</w:t>
            </w:r>
          </w:p>
        </w:tc>
        <w:tc>
          <w:tcPr>
            <w:tcW w:w="1218" w:type="dxa"/>
            <w:vMerge/>
            <w:vAlign w:val="center"/>
          </w:tcPr>
          <w:p w:rsidR="00836117" w:rsidRPr="0054247D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117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836117" w:rsidRPr="003E1C98" w:rsidRDefault="00836117" w:rsidP="0083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836117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7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Всеукраїнського </w:t>
            </w:r>
            <w:proofErr w:type="spellStart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«Безпечна та дружня до дитини школа»</w:t>
            </w:r>
          </w:p>
        </w:tc>
        <w:tc>
          <w:tcPr>
            <w:tcW w:w="1218" w:type="dxa"/>
            <w:vMerge/>
            <w:vAlign w:val="center"/>
          </w:tcPr>
          <w:p w:rsidR="00836117" w:rsidRPr="0054247D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117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836117" w:rsidRPr="003E1C98" w:rsidRDefault="00836117" w:rsidP="0083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836117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7" w:rsidRPr="00B246BC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 підвищення рівня читацької, математичної та природничо-наукової грамотності учнів у закладах загальної середньої освіти Харківської області</w:t>
            </w:r>
          </w:p>
        </w:tc>
        <w:tc>
          <w:tcPr>
            <w:tcW w:w="1218" w:type="dxa"/>
            <w:vMerge/>
            <w:vAlign w:val="center"/>
          </w:tcPr>
          <w:p w:rsidR="00836117" w:rsidRPr="0054247D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6117" w:rsidRPr="003E1C98" w:rsidTr="00904B2A">
        <w:trPr>
          <w:cantSplit/>
          <w:trHeight w:val="496"/>
        </w:trPr>
        <w:tc>
          <w:tcPr>
            <w:tcW w:w="2269" w:type="dxa"/>
            <w:vMerge/>
            <w:textDirection w:val="btLr"/>
            <w:vAlign w:val="center"/>
          </w:tcPr>
          <w:p w:rsidR="00836117" w:rsidRPr="003E1C98" w:rsidRDefault="00836117" w:rsidP="0083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836117" w:rsidRDefault="00836117" w:rsidP="0083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5.15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7" w:rsidRPr="00E50AA9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2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МТК «Навчально-методичний кейс інтегрованого курсу «Природничі науки»</w:t>
            </w:r>
          </w:p>
        </w:tc>
        <w:tc>
          <w:tcPr>
            <w:tcW w:w="1218" w:type="dxa"/>
            <w:vAlign w:val="center"/>
          </w:tcPr>
          <w:p w:rsidR="00836117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A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окремим </w:t>
            </w:r>
          </w:p>
          <w:p w:rsidR="00836117" w:rsidRPr="00C157D5" w:rsidRDefault="00836117" w:rsidP="0083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A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планом</w:t>
            </w:r>
          </w:p>
        </w:tc>
      </w:tr>
    </w:tbl>
    <w:p w:rsidR="000F3FA2" w:rsidRDefault="000F3FA2" w:rsidP="000F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F3FA2" w:rsidSect="00F0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607D7"/>
    <w:multiLevelType w:val="hybridMultilevel"/>
    <w:tmpl w:val="D02A4FDA"/>
    <w:lvl w:ilvl="0" w:tplc="64AEC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DBB"/>
    <w:rsid w:val="00063CB5"/>
    <w:rsid w:val="000D6B3E"/>
    <w:rsid w:val="000F3FA2"/>
    <w:rsid w:val="00191C69"/>
    <w:rsid w:val="00235C7B"/>
    <w:rsid w:val="00284880"/>
    <w:rsid w:val="00322DB9"/>
    <w:rsid w:val="003A2109"/>
    <w:rsid w:val="003E1C98"/>
    <w:rsid w:val="004A020B"/>
    <w:rsid w:val="004F2924"/>
    <w:rsid w:val="0054247D"/>
    <w:rsid w:val="00602AC8"/>
    <w:rsid w:val="00637161"/>
    <w:rsid w:val="00677F46"/>
    <w:rsid w:val="006F05B1"/>
    <w:rsid w:val="00751BFF"/>
    <w:rsid w:val="0075702A"/>
    <w:rsid w:val="0077331C"/>
    <w:rsid w:val="007848D9"/>
    <w:rsid w:val="00785E67"/>
    <w:rsid w:val="007C256B"/>
    <w:rsid w:val="007E5736"/>
    <w:rsid w:val="007E6502"/>
    <w:rsid w:val="00823322"/>
    <w:rsid w:val="00836117"/>
    <w:rsid w:val="008375A1"/>
    <w:rsid w:val="0087371A"/>
    <w:rsid w:val="00881040"/>
    <w:rsid w:val="0089723A"/>
    <w:rsid w:val="008A1188"/>
    <w:rsid w:val="008E0120"/>
    <w:rsid w:val="00904B2A"/>
    <w:rsid w:val="009760D2"/>
    <w:rsid w:val="009A778D"/>
    <w:rsid w:val="00AA7C3D"/>
    <w:rsid w:val="00AB67F6"/>
    <w:rsid w:val="00AF5AB0"/>
    <w:rsid w:val="00AF70FC"/>
    <w:rsid w:val="00B60FF2"/>
    <w:rsid w:val="00BC3A77"/>
    <w:rsid w:val="00C07DBB"/>
    <w:rsid w:val="00C157D5"/>
    <w:rsid w:val="00C454F0"/>
    <w:rsid w:val="00C80DD2"/>
    <w:rsid w:val="00CE7FF5"/>
    <w:rsid w:val="00CF5869"/>
    <w:rsid w:val="00D61BEF"/>
    <w:rsid w:val="00DF3897"/>
    <w:rsid w:val="00E50AA9"/>
    <w:rsid w:val="00E76918"/>
    <w:rsid w:val="00E8363D"/>
    <w:rsid w:val="00E973A8"/>
    <w:rsid w:val="00EC6C72"/>
    <w:rsid w:val="00F040E7"/>
    <w:rsid w:val="00F103A9"/>
    <w:rsid w:val="00F559FD"/>
    <w:rsid w:val="00FC4845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11A9"/>
  <w15:docId w15:val="{C7F7C067-9564-4F69-B0DD-970072DB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E7"/>
  </w:style>
  <w:style w:type="paragraph" w:styleId="1">
    <w:name w:val="heading 1"/>
    <w:basedOn w:val="a"/>
    <w:next w:val="a"/>
    <w:link w:val="11"/>
    <w:qFormat/>
    <w:rsid w:val="00C07DB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07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C07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C07DB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1">
    <w:name w:val="Заголовок 1 Знак1"/>
    <w:link w:val="1"/>
    <w:locked/>
    <w:rsid w:val="00C07DBB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customStyle="1" w:styleId="41">
    <w:name w:val="Знак Знак4 Знак Знак1"/>
    <w:basedOn w:val="a"/>
    <w:rsid w:val="000F3F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22DB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E57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57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57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57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57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16</cp:revision>
  <cp:lastPrinted>2021-01-18T09:28:00Z</cp:lastPrinted>
  <dcterms:created xsi:type="dcterms:W3CDTF">2021-01-19T08:32:00Z</dcterms:created>
  <dcterms:modified xsi:type="dcterms:W3CDTF">2021-02-03T14:16:00Z</dcterms:modified>
</cp:coreProperties>
</file>